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84498" w14:textId="6C49FEEB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036A10">
        <w:rPr>
          <w:rFonts w:ascii="Times New Roman" w:hAnsi="Times New Roman"/>
          <w:b/>
          <w:szCs w:val="24"/>
        </w:rPr>
        <w:t>Key Terms</w:t>
      </w:r>
    </w:p>
    <w:p w14:paraId="085C41F4" w14:textId="78E2ABE9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Accurate empathy.</w:t>
      </w:r>
      <w:r>
        <w:rPr>
          <w:rFonts w:ascii="Times New Roman" w:hAnsi="Times New Roman"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>A therapeutic lead that neither adds to nor subtracts from the client</w:t>
      </w:r>
      <w:r w:rsidR="009E1AC1">
        <w:rPr>
          <w:rFonts w:ascii="Times New Roman" w:hAnsi="Times New Roman"/>
          <w:szCs w:val="24"/>
        </w:rPr>
        <w:t>’</w:t>
      </w:r>
      <w:r w:rsidRPr="004F1D3C">
        <w:rPr>
          <w:rFonts w:ascii="Times New Roman" w:hAnsi="Times New Roman"/>
          <w:szCs w:val="24"/>
        </w:rPr>
        <w:t>s meaning. See also Additive Empathy and Subtractive Empathy.</w:t>
      </w:r>
    </w:p>
    <w:p w14:paraId="565AF319" w14:textId="51B95922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Additive empathy.</w:t>
      </w:r>
      <w:r>
        <w:rPr>
          <w:rFonts w:ascii="Times New Roman" w:hAnsi="Times New Roman"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>A therapeutic lead that recognizes and shares additional, underlying, often unspoken meanings, thoughts and feelings. See also Accurate Empathy and Subtractive Empathy.</w:t>
      </w:r>
      <w:r>
        <w:rPr>
          <w:rFonts w:ascii="Times New Roman" w:hAnsi="Times New Roman"/>
          <w:szCs w:val="24"/>
        </w:rPr>
        <w:t xml:space="preserve"> </w:t>
      </w:r>
    </w:p>
    <w:p w14:paraId="7A2CEE87" w14:textId="102A1318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Closed questions.</w:t>
      </w:r>
      <w:r>
        <w:rPr>
          <w:rFonts w:ascii="Times New Roman" w:hAnsi="Times New Roman"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 xml:space="preserve">Questions quickly obtaining specific data and discouraging lengthy discussion, answered in a few words, and beginning with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do,</w:t>
      </w:r>
      <w:r w:rsidR="009E1AC1">
        <w:rPr>
          <w:rFonts w:ascii="Times New Roman" w:hAnsi="Times New Roman"/>
          <w:szCs w:val="24"/>
        </w:rPr>
        <w:t>”</w:t>
      </w:r>
      <w:r w:rsidRPr="004F1D3C">
        <w:rPr>
          <w:rFonts w:ascii="Times New Roman" w:hAnsi="Times New Roman"/>
          <w:szCs w:val="24"/>
        </w:rPr>
        <w:t xml:space="preserve">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does,</w:t>
      </w:r>
      <w:r w:rsidR="009E1AC1">
        <w:rPr>
          <w:rFonts w:ascii="Times New Roman" w:hAnsi="Times New Roman"/>
          <w:szCs w:val="24"/>
        </w:rPr>
        <w:t>”</w:t>
      </w:r>
      <w:r w:rsidRPr="004F1D3C">
        <w:rPr>
          <w:rFonts w:ascii="Times New Roman" w:hAnsi="Times New Roman"/>
          <w:szCs w:val="24"/>
        </w:rPr>
        <w:t xml:space="preserve">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is,</w:t>
      </w:r>
      <w:r w:rsidR="009E1AC1">
        <w:rPr>
          <w:rFonts w:ascii="Times New Roman" w:hAnsi="Times New Roman"/>
          <w:szCs w:val="24"/>
        </w:rPr>
        <w:t>”</w:t>
      </w:r>
      <w:r w:rsidRPr="004F1D3C">
        <w:rPr>
          <w:rFonts w:ascii="Times New Roman" w:hAnsi="Times New Roman"/>
          <w:szCs w:val="24"/>
        </w:rPr>
        <w:t xml:space="preserve">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could,</w:t>
      </w:r>
      <w:r w:rsidR="009E1AC1">
        <w:rPr>
          <w:rFonts w:ascii="Times New Roman" w:hAnsi="Times New Roman"/>
          <w:szCs w:val="24"/>
        </w:rPr>
        <w:t>”</w:t>
      </w:r>
      <w:r w:rsidRPr="004F1D3C">
        <w:rPr>
          <w:rFonts w:ascii="Times New Roman" w:hAnsi="Times New Roman"/>
          <w:szCs w:val="24"/>
        </w:rPr>
        <w:t xml:space="preserve"> and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are.</w:t>
      </w:r>
      <w:r w:rsidR="009E1AC1">
        <w:rPr>
          <w:rFonts w:ascii="Times New Roman" w:hAnsi="Times New Roman"/>
          <w:szCs w:val="24"/>
        </w:rPr>
        <w:t>”</w:t>
      </w:r>
    </w:p>
    <w:p w14:paraId="28C7B930" w14:textId="6D5534ED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Encouragers</w:t>
      </w:r>
      <w:r w:rsidRPr="009E1AC1">
        <w:rPr>
          <w:rFonts w:ascii="Times New Roman" w:hAnsi="Times New Roman"/>
          <w:b/>
          <w:bCs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  <w:proofErr w:type="spellStart"/>
      <w:r w:rsidRPr="004F1D3C">
        <w:rPr>
          <w:rFonts w:ascii="Times New Roman" w:hAnsi="Times New Roman"/>
          <w:szCs w:val="24"/>
        </w:rPr>
        <w:t>Microskill</w:t>
      </w:r>
      <w:proofErr w:type="spellEnd"/>
      <w:r w:rsidRPr="004F1D3C">
        <w:rPr>
          <w:rFonts w:ascii="Times New Roman" w:hAnsi="Times New Roman"/>
          <w:b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>that</w:t>
      </w:r>
      <w:r w:rsidRPr="004F1D3C">
        <w:rPr>
          <w:rFonts w:ascii="Times New Roman" w:hAnsi="Times New Roman"/>
          <w:b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>encourages elaboration of ideas and emotions by repeating one or a few of the client</w:t>
      </w:r>
      <w:r w:rsidR="009E1AC1">
        <w:rPr>
          <w:rFonts w:ascii="Times New Roman" w:hAnsi="Times New Roman"/>
          <w:szCs w:val="24"/>
        </w:rPr>
        <w:t>’</w:t>
      </w:r>
      <w:r w:rsidRPr="004F1D3C">
        <w:rPr>
          <w:rFonts w:ascii="Times New Roman" w:hAnsi="Times New Roman"/>
          <w:szCs w:val="24"/>
        </w:rPr>
        <w:t>s main words to focus attention on the ideas contained in those words.</w:t>
      </w:r>
    </w:p>
    <w:p w14:paraId="111841EE" w14:textId="79DF23AA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proofErr w:type="spellStart"/>
      <w:r w:rsidRPr="004F1D3C">
        <w:rPr>
          <w:rFonts w:ascii="Times New Roman" w:hAnsi="Times New Roman"/>
          <w:b/>
          <w:bCs/>
          <w:szCs w:val="24"/>
        </w:rPr>
        <w:t>Microskills</w:t>
      </w:r>
      <w:proofErr w:type="spellEnd"/>
      <w:r w:rsidRPr="004F1D3C">
        <w:rPr>
          <w:rFonts w:ascii="Times New Roman" w:hAnsi="Times New Roman"/>
          <w:b/>
          <w:bCs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>The nonverbal and verbal building blocks that help clinicians join with clients, communicate empathy and understanding, and influence clients to change.</w:t>
      </w:r>
    </w:p>
    <w:p w14:paraId="6AA5F29E" w14:textId="1A07BFD4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Minimal encouragers.</w:t>
      </w:r>
      <w:r>
        <w:rPr>
          <w:rFonts w:ascii="Times New Roman" w:hAnsi="Times New Roman"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>Simple sounds that help people feel heard or understood with few or no words.</w:t>
      </w:r>
    </w:p>
    <w:p w14:paraId="7B598936" w14:textId="6A9520DD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Open questions.</w:t>
      </w:r>
      <w:r>
        <w:rPr>
          <w:rFonts w:ascii="Times New Roman" w:hAnsi="Times New Roman"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 xml:space="preserve">Questions eliciting major information and facilitating discussion, and generally begin with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who,</w:t>
      </w:r>
      <w:r w:rsidR="009E1AC1">
        <w:rPr>
          <w:rFonts w:ascii="Times New Roman" w:hAnsi="Times New Roman"/>
          <w:szCs w:val="24"/>
        </w:rPr>
        <w:t>”</w:t>
      </w:r>
      <w:r w:rsidRPr="004F1D3C">
        <w:rPr>
          <w:rFonts w:ascii="Times New Roman" w:hAnsi="Times New Roman"/>
          <w:szCs w:val="24"/>
        </w:rPr>
        <w:t xml:space="preserve">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what,</w:t>
      </w:r>
      <w:r w:rsidR="009E1AC1">
        <w:rPr>
          <w:rFonts w:ascii="Times New Roman" w:hAnsi="Times New Roman"/>
          <w:szCs w:val="24"/>
        </w:rPr>
        <w:t>”</w:t>
      </w:r>
      <w:r w:rsidRPr="004F1D3C">
        <w:rPr>
          <w:rFonts w:ascii="Times New Roman" w:hAnsi="Times New Roman"/>
          <w:szCs w:val="24"/>
        </w:rPr>
        <w:t xml:space="preserve">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how,</w:t>
      </w:r>
      <w:r w:rsidR="009E1AC1">
        <w:rPr>
          <w:rFonts w:ascii="Times New Roman" w:hAnsi="Times New Roman"/>
          <w:szCs w:val="24"/>
        </w:rPr>
        <w:t>”</w:t>
      </w:r>
      <w:r w:rsidRPr="004F1D3C">
        <w:rPr>
          <w:rFonts w:ascii="Times New Roman" w:hAnsi="Times New Roman"/>
          <w:szCs w:val="24"/>
        </w:rPr>
        <w:t xml:space="preserve">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why,</w:t>
      </w:r>
      <w:r w:rsidR="009E1AC1">
        <w:rPr>
          <w:rFonts w:ascii="Times New Roman" w:hAnsi="Times New Roman"/>
          <w:szCs w:val="24"/>
        </w:rPr>
        <w:t>”</w:t>
      </w:r>
      <w:r w:rsidRPr="004F1D3C">
        <w:rPr>
          <w:rFonts w:ascii="Times New Roman" w:hAnsi="Times New Roman"/>
          <w:szCs w:val="24"/>
        </w:rPr>
        <w:t xml:space="preserve"> or </w:t>
      </w:r>
      <w:r w:rsidR="009E1AC1">
        <w:rPr>
          <w:rFonts w:ascii="Times New Roman" w:hAnsi="Times New Roman"/>
          <w:szCs w:val="24"/>
        </w:rPr>
        <w:t>“</w:t>
      </w:r>
      <w:r w:rsidRPr="004F1D3C">
        <w:rPr>
          <w:rFonts w:ascii="Times New Roman" w:hAnsi="Times New Roman"/>
          <w:szCs w:val="24"/>
        </w:rPr>
        <w:t>could.</w:t>
      </w:r>
      <w:r w:rsidR="009E1AC1">
        <w:rPr>
          <w:rFonts w:ascii="Times New Roman" w:hAnsi="Times New Roman"/>
          <w:szCs w:val="24"/>
        </w:rPr>
        <w:t>”</w:t>
      </w:r>
    </w:p>
    <w:p w14:paraId="34F1D973" w14:textId="36A5C042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Paraphrases.</w:t>
      </w:r>
      <w:r>
        <w:rPr>
          <w:rFonts w:ascii="Times New Roman" w:hAnsi="Times New Roman"/>
          <w:szCs w:val="24"/>
        </w:rPr>
        <w:t xml:space="preserve"> </w:t>
      </w:r>
      <w:proofErr w:type="spellStart"/>
      <w:r w:rsidRPr="004F1D3C">
        <w:rPr>
          <w:rFonts w:ascii="Times New Roman" w:hAnsi="Times New Roman"/>
          <w:szCs w:val="24"/>
        </w:rPr>
        <w:t>Microskill</w:t>
      </w:r>
      <w:proofErr w:type="spellEnd"/>
      <w:r w:rsidRPr="004F1D3C">
        <w:rPr>
          <w:rFonts w:ascii="Times New Roman" w:hAnsi="Times New Roman"/>
          <w:szCs w:val="24"/>
        </w:rPr>
        <w:t xml:space="preserve"> that promotes discussion by summarizing the essence of a client</w:t>
      </w:r>
      <w:r w:rsidR="009E1AC1">
        <w:rPr>
          <w:rFonts w:ascii="Times New Roman" w:hAnsi="Times New Roman"/>
          <w:szCs w:val="24"/>
        </w:rPr>
        <w:t>’</w:t>
      </w:r>
      <w:r w:rsidRPr="004F1D3C">
        <w:rPr>
          <w:rFonts w:ascii="Times New Roman" w:hAnsi="Times New Roman"/>
          <w:szCs w:val="24"/>
        </w:rPr>
        <w:t>s message from a short period of time, both to demonstrate the clinician</w:t>
      </w:r>
      <w:r w:rsidR="009E1AC1">
        <w:rPr>
          <w:rFonts w:ascii="Times New Roman" w:hAnsi="Times New Roman"/>
          <w:szCs w:val="24"/>
        </w:rPr>
        <w:t>’</w:t>
      </w:r>
      <w:r w:rsidRPr="004F1D3C">
        <w:rPr>
          <w:rFonts w:ascii="Times New Roman" w:hAnsi="Times New Roman"/>
          <w:szCs w:val="24"/>
        </w:rPr>
        <w:t>s understanding and to check out that understanding.</w:t>
      </w:r>
    </w:p>
    <w:p w14:paraId="3D2FDBEE" w14:textId="01DB56AF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Reflections of feeling.</w:t>
      </w:r>
      <w:r>
        <w:rPr>
          <w:rFonts w:ascii="Times New Roman" w:hAnsi="Times New Roman"/>
          <w:szCs w:val="24"/>
        </w:rPr>
        <w:t xml:space="preserve"> </w:t>
      </w:r>
      <w:proofErr w:type="spellStart"/>
      <w:r w:rsidRPr="004F1D3C">
        <w:rPr>
          <w:rFonts w:ascii="Times New Roman" w:hAnsi="Times New Roman"/>
          <w:szCs w:val="24"/>
        </w:rPr>
        <w:t>Microskill</w:t>
      </w:r>
      <w:proofErr w:type="spellEnd"/>
      <w:r w:rsidRPr="004F1D3C">
        <w:rPr>
          <w:rFonts w:ascii="Times New Roman" w:hAnsi="Times New Roman"/>
          <w:szCs w:val="24"/>
        </w:rPr>
        <w:t xml:space="preserve"> that communicates understanding by selectively focusing on feelings and emotions.</w:t>
      </w:r>
    </w:p>
    <w:p w14:paraId="70151A6A" w14:textId="3494748B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Subtractive empathy</w:t>
      </w:r>
      <w:r w:rsidRPr="009E1AC1">
        <w:rPr>
          <w:rFonts w:ascii="Times New Roman" w:hAnsi="Times New Roman"/>
          <w:b/>
          <w:bCs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>A response that is off-track and misses or subtracts from understanding clients from their own point of view. See also Addi</w:t>
      </w:r>
      <w:bookmarkStart w:id="0" w:name="_GoBack"/>
      <w:bookmarkEnd w:id="0"/>
      <w:r w:rsidRPr="004F1D3C">
        <w:rPr>
          <w:rFonts w:ascii="Times New Roman" w:hAnsi="Times New Roman"/>
          <w:szCs w:val="24"/>
        </w:rPr>
        <w:t>tive Empathy and Accurate Empathy.</w:t>
      </w:r>
    </w:p>
    <w:p w14:paraId="74A3565B" w14:textId="594F4D5F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lastRenderedPageBreak/>
        <w:t>Summarizations.</w:t>
      </w:r>
      <w:r>
        <w:rPr>
          <w:rFonts w:ascii="Times New Roman" w:hAnsi="Times New Roman"/>
          <w:szCs w:val="24"/>
        </w:rPr>
        <w:t xml:space="preserve"> </w:t>
      </w:r>
      <w:proofErr w:type="spellStart"/>
      <w:r w:rsidRPr="004F1D3C">
        <w:rPr>
          <w:rFonts w:ascii="Times New Roman" w:hAnsi="Times New Roman"/>
          <w:szCs w:val="24"/>
        </w:rPr>
        <w:t>Microskills</w:t>
      </w:r>
      <w:proofErr w:type="spellEnd"/>
      <w:r w:rsidRPr="004F1D3C">
        <w:rPr>
          <w:rFonts w:ascii="Times New Roman" w:hAnsi="Times New Roman"/>
          <w:szCs w:val="24"/>
        </w:rPr>
        <w:t xml:space="preserve"> that quickly organizes information a large amount of information to communicate and check out understanding. Often used at a session</w:t>
      </w:r>
      <w:r w:rsidR="009E1AC1">
        <w:rPr>
          <w:rFonts w:ascii="Times New Roman" w:hAnsi="Times New Roman"/>
          <w:szCs w:val="24"/>
        </w:rPr>
        <w:t>’</w:t>
      </w:r>
      <w:r w:rsidRPr="004F1D3C">
        <w:rPr>
          <w:rFonts w:ascii="Times New Roman" w:hAnsi="Times New Roman"/>
          <w:szCs w:val="24"/>
        </w:rPr>
        <w:t>s beginning or end and during changes in focus.</w:t>
      </w:r>
    </w:p>
    <w:p w14:paraId="7C1DCCD6" w14:textId="1AF51778" w:rsidR="004F1D3C" w:rsidRPr="004F1D3C" w:rsidRDefault="004F1D3C" w:rsidP="004F1D3C">
      <w:pPr>
        <w:spacing w:line="480" w:lineRule="auto"/>
        <w:rPr>
          <w:rFonts w:ascii="Times New Roman" w:hAnsi="Times New Roman"/>
          <w:szCs w:val="24"/>
        </w:rPr>
      </w:pPr>
      <w:r w:rsidRPr="004F1D3C">
        <w:rPr>
          <w:rFonts w:ascii="Times New Roman" w:hAnsi="Times New Roman"/>
          <w:b/>
          <w:bCs/>
          <w:szCs w:val="24"/>
        </w:rPr>
        <w:t>Validation.</w:t>
      </w:r>
      <w:r>
        <w:rPr>
          <w:rFonts w:ascii="Times New Roman" w:hAnsi="Times New Roman"/>
          <w:szCs w:val="24"/>
        </w:rPr>
        <w:t xml:space="preserve"> </w:t>
      </w:r>
      <w:r w:rsidRPr="004F1D3C">
        <w:rPr>
          <w:rFonts w:ascii="Times New Roman" w:hAnsi="Times New Roman"/>
          <w:szCs w:val="24"/>
        </w:rPr>
        <w:t>The need to have one</w:t>
      </w:r>
      <w:r w:rsidR="009E1AC1">
        <w:rPr>
          <w:rFonts w:ascii="Times New Roman" w:hAnsi="Times New Roman"/>
          <w:szCs w:val="24"/>
        </w:rPr>
        <w:t>’</w:t>
      </w:r>
      <w:r w:rsidRPr="004F1D3C">
        <w:rPr>
          <w:rFonts w:ascii="Times New Roman" w:hAnsi="Times New Roman"/>
          <w:szCs w:val="24"/>
        </w:rPr>
        <w:t xml:space="preserve">s self-perception accepted or confirmed by others. </w:t>
      </w:r>
    </w:p>
    <w:p w14:paraId="3934D905" w14:textId="60CFADBD" w:rsidR="004F1D3C" w:rsidRPr="00036A10" w:rsidRDefault="004F1D3C" w:rsidP="004F1D3C">
      <w:pPr>
        <w:spacing w:line="480" w:lineRule="auto"/>
        <w:rPr>
          <w:rFonts w:ascii="Times New Roman" w:hAnsi="Times New Roman"/>
          <w:szCs w:val="24"/>
        </w:rPr>
      </w:pPr>
    </w:p>
    <w:p w14:paraId="3BFEFF1A" w14:textId="77777777" w:rsidR="00C30A25" w:rsidRDefault="00C30A25"/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3C"/>
    <w:rsid w:val="004F1D3C"/>
    <w:rsid w:val="009E1AC1"/>
    <w:rsid w:val="00C3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69E77"/>
  <w15:chartTrackingRefBased/>
  <w15:docId w15:val="{48AAB10C-B3FF-4CCB-8C47-C6E0288F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3C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2</cp:revision>
  <dcterms:created xsi:type="dcterms:W3CDTF">2019-10-18T16:52:00Z</dcterms:created>
  <dcterms:modified xsi:type="dcterms:W3CDTF">2020-01-03T16:43:00Z</dcterms:modified>
</cp:coreProperties>
</file>