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FD75D" w14:textId="77777777" w:rsidR="00CB3619" w:rsidRPr="0090489E" w:rsidRDefault="00CB3619" w:rsidP="00CB3619">
      <w:pPr>
        <w:widowControl w:val="0"/>
        <w:spacing w:line="480" w:lineRule="auto"/>
        <w:jc w:val="center"/>
        <w:rPr>
          <w:rFonts w:ascii="Times New Roman" w:eastAsia="Times New Roman" w:hAnsi="Times New Roman"/>
          <w:b/>
          <w:color w:val="000000"/>
          <w:szCs w:val="28"/>
        </w:rPr>
      </w:pPr>
      <w:r w:rsidRPr="0090489E">
        <w:rPr>
          <w:rFonts w:ascii="Times New Roman" w:hAnsi="Times New Roman"/>
          <w:b/>
          <w:szCs w:val="28"/>
        </w:rPr>
        <w:t xml:space="preserve">Chapter </w:t>
      </w:r>
      <w:r>
        <w:rPr>
          <w:rFonts w:ascii="Times New Roman" w:hAnsi="Times New Roman"/>
          <w:b/>
          <w:szCs w:val="28"/>
        </w:rPr>
        <w:t>12</w:t>
      </w:r>
      <w:r w:rsidRPr="0090489E">
        <w:rPr>
          <w:rFonts w:ascii="Times New Roman" w:hAnsi="Times New Roman"/>
          <w:b/>
          <w:szCs w:val="28"/>
        </w:rPr>
        <w:t xml:space="preserve">. </w:t>
      </w:r>
      <w:r>
        <w:rPr>
          <w:rFonts w:ascii="Times New Roman" w:hAnsi="Times New Roman"/>
          <w:b/>
          <w:szCs w:val="28"/>
        </w:rPr>
        <w:t xml:space="preserve">Writing Empathic </w:t>
      </w:r>
      <w:r w:rsidRPr="0090489E">
        <w:rPr>
          <w:rFonts w:ascii="Times New Roman" w:hAnsi="Times New Roman"/>
          <w:b/>
          <w:szCs w:val="28"/>
        </w:rPr>
        <w:t xml:space="preserve">Clinical </w:t>
      </w:r>
      <w:r>
        <w:rPr>
          <w:rFonts w:ascii="Times New Roman" w:hAnsi="Times New Roman"/>
          <w:b/>
          <w:szCs w:val="28"/>
        </w:rPr>
        <w:t>Reports</w:t>
      </w:r>
    </w:p>
    <w:p w14:paraId="10D3DE3B" w14:textId="77777777" w:rsidR="00CB3619" w:rsidRPr="00CB3619" w:rsidRDefault="00CB3619" w:rsidP="00CB3619">
      <w:pPr>
        <w:widowControl w:val="0"/>
        <w:spacing w:line="480" w:lineRule="auto"/>
        <w:rPr>
          <w:rFonts w:ascii="Times New Roman" w:hAnsi="Times New Roman"/>
          <w:szCs w:val="24"/>
        </w:rPr>
      </w:pPr>
      <w:r w:rsidRPr="00CB3619">
        <w:rPr>
          <w:rFonts w:ascii="Times New Roman" w:hAnsi="Times New Roman"/>
          <w:szCs w:val="24"/>
        </w:rPr>
        <w:tab/>
        <w:t>Effective writing about clients takes several different forms; each is related to its specific purpose (e.g., a progress note, a report, treatment plan, discharge summary, and so on). Some of these forms have been discussed here, while others were discussed in Chapters 6 and 10. Both the form and the content of the writing address the specific purpose of the writing product and answer the referral question.</w:t>
      </w:r>
      <w:bookmarkStart w:id="0" w:name="_GoBack"/>
      <w:bookmarkEnd w:id="0"/>
    </w:p>
    <w:p w14:paraId="2B013E19" w14:textId="77777777" w:rsidR="00CB3619" w:rsidRPr="00CB3619" w:rsidRDefault="00CB3619" w:rsidP="00CB3619">
      <w:pPr>
        <w:widowControl w:val="0"/>
        <w:spacing w:line="480" w:lineRule="auto"/>
        <w:rPr>
          <w:rFonts w:ascii="Times New Roman" w:hAnsi="Times New Roman"/>
          <w:szCs w:val="24"/>
        </w:rPr>
      </w:pPr>
      <w:r w:rsidRPr="00CB3619">
        <w:rPr>
          <w:rFonts w:ascii="Times New Roman" w:hAnsi="Times New Roman"/>
          <w:szCs w:val="24"/>
        </w:rPr>
        <w:tab/>
        <w:t>Clinical writing should be succinct, objective, and strength-based. SOAP notes, for example, are an especially succinct and objective style of writing used to document interviews and therapy sessions. Notes and reports should balance the needs of both the client and clinician. Clinical writing should include enough information to document competent interventions and assessments, without including unnecessarily-embarrassing material that puts clients at risk. Consider multiple explanations and be appropriately tentative; yet draw reasonable conclusions, while acknowledging the limitations of those conclusions.</w:t>
      </w:r>
    </w:p>
    <w:p w14:paraId="69B8158E" w14:textId="134C9F20" w:rsidR="00CB3619" w:rsidRPr="00CB3619" w:rsidRDefault="00CB3619" w:rsidP="00CB3619">
      <w:pPr>
        <w:widowControl w:val="0"/>
        <w:spacing w:line="480" w:lineRule="auto"/>
        <w:rPr>
          <w:rFonts w:ascii="Times New Roman" w:eastAsia="Times New Roman" w:hAnsi="Times New Roman"/>
          <w:color w:val="000000"/>
          <w:szCs w:val="24"/>
        </w:rPr>
      </w:pPr>
      <w:r w:rsidRPr="00CB3619">
        <w:rPr>
          <w:rFonts w:ascii="Times New Roman" w:hAnsi="Times New Roman"/>
          <w:szCs w:val="24"/>
        </w:rPr>
        <w:tab/>
        <w:t>Readers draw conclusions about clinical abilities based on a clinician</w:t>
      </w:r>
      <w:r w:rsidR="00B50B49">
        <w:rPr>
          <w:rFonts w:ascii="Times New Roman" w:hAnsi="Times New Roman"/>
          <w:szCs w:val="24"/>
        </w:rPr>
        <w:t>’</w:t>
      </w:r>
      <w:r w:rsidRPr="00CB3619">
        <w:rPr>
          <w:rFonts w:ascii="Times New Roman" w:hAnsi="Times New Roman"/>
          <w:szCs w:val="24"/>
        </w:rPr>
        <w:t>s writing style and inferences. Therefore, effective clinicians write carefully, accurately, and respectfully, addressing both referral questions and the needs and understanding of their audience. Clinicians</w:t>
      </w:r>
      <w:r w:rsidR="00B50B49">
        <w:rPr>
          <w:rFonts w:ascii="Times New Roman" w:hAnsi="Times New Roman"/>
          <w:szCs w:val="24"/>
        </w:rPr>
        <w:t>’</w:t>
      </w:r>
      <w:r w:rsidRPr="00CB3619">
        <w:rPr>
          <w:rFonts w:ascii="Times New Roman" w:hAnsi="Times New Roman"/>
          <w:szCs w:val="24"/>
        </w:rPr>
        <w:t xml:space="preserve"> reputations depend on the quality of their clinical writing and are worth protecting.</w:t>
      </w:r>
    </w:p>
    <w:p w14:paraId="2889E74D" w14:textId="77777777" w:rsidR="00CB3619" w:rsidRPr="0090489E" w:rsidRDefault="00CB3619" w:rsidP="00CB361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90489E">
        <w:rPr>
          <w:rFonts w:ascii="Times New Roman" w:hAnsi="Times New Roman"/>
          <w:szCs w:val="24"/>
        </w:rPr>
        <w:t>Why is clinical writing important?</w:t>
      </w:r>
    </w:p>
    <w:p w14:paraId="4D7B30D7" w14:textId="77777777" w:rsidR="00CB3619" w:rsidRPr="0090489E" w:rsidRDefault="00CB3619" w:rsidP="00CB361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90489E" w:rsidDel="00BF1DB3">
        <w:rPr>
          <w:rFonts w:ascii="Times New Roman" w:hAnsi="Times New Roman"/>
          <w:szCs w:val="24"/>
        </w:rPr>
        <w:t>Describe how</w:t>
      </w:r>
      <w:r w:rsidRPr="0090489E" w:rsidDel="008D5173">
        <w:rPr>
          <w:rFonts w:ascii="Times New Roman" w:hAnsi="Times New Roman"/>
          <w:szCs w:val="24"/>
        </w:rPr>
        <w:t xml:space="preserve"> </w:t>
      </w:r>
      <w:r w:rsidRPr="0090489E">
        <w:rPr>
          <w:rFonts w:ascii="Times New Roman" w:hAnsi="Times New Roman"/>
          <w:szCs w:val="24"/>
        </w:rPr>
        <w:t xml:space="preserve">different types of clinical writing serve different purposes. </w:t>
      </w:r>
    </w:p>
    <w:p w14:paraId="0A0D86F8" w14:textId="77777777" w:rsidR="00CB3619" w:rsidRPr="0090489E" w:rsidRDefault="00CB3619" w:rsidP="00CB361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90489E">
        <w:rPr>
          <w:rFonts w:ascii="Times New Roman" w:hAnsi="Times New Roman"/>
          <w:szCs w:val="24"/>
        </w:rPr>
        <w:t>What characterizes effective clinical writing?</w:t>
      </w:r>
    </w:p>
    <w:p w14:paraId="43FF89EC" w14:textId="77777777" w:rsidR="00CB3619" w:rsidRPr="0090489E" w:rsidRDefault="00CB3619" w:rsidP="00CB361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90489E">
        <w:rPr>
          <w:rFonts w:ascii="Times New Roman" w:hAnsi="Times New Roman"/>
          <w:szCs w:val="24"/>
        </w:rPr>
        <w:t xml:space="preserve">How is empathy important to clinical writing? </w:t>
      </w:r>
    </w:p>
    <w:p w14:paraId="23EAD087" w14:textId="650DB761" w:rsidR="00D727AD" w:rsidRDefault="00CB3619">
      <w:r>
        <w:t xml:space="preserve">Case material: </w:t>
      </w:r>
      <w:proofErr w:type="spellStart"/>
      <w:r>
        <w:t>D</w:t>
      </w:r>
      <w:r w:rsidR="00B50B49">
        <w:t>’</w:t>
      </w:r>
      <w:r>
        <w:t>Ja</w:t>
      </w:r>
      <w:proofErr w:type="spellEnd"/>
      <w:r>
        <w:t xml:space="preserve"> Jones</w:t>
      </w:r>
    </w:p>
    <w:sectPr w:rsidR="00D727AD" w:rsidSect="009F2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3C36E2"/>
    <w:multiLevelType w:val="hybridMultilevel"/>
    <w:tmpl w:val="801AC588"/>
    <w:lvl w:ilvl="0" w:tplc="FFFFFFFF">
      <w:start w:val="1"/>
      <w:numFmt w:val="decimal"/>
      <w:lvlText w:val="%1."/>
      <w:lvlJc w:val="left"/>
      <w:pPr>
        <w:tabs>
          <w:tab w:val="num" w:pos="360"/>
        </w:tabs>
        <w:ind w:left="360" w:hanging="360"/>
      </w:pPr>
      <w:rPr>
        <w:rFonts w:hint="default"/>
        <w:sz w:val="20"/>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619"/>
    <w:rsid w:val="009F29D5"/>
    <w:rsid w:val="00B50B49"/>
    <w:rsid w:val="00CB3619"/>
    <w:rsid w:val="00D7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CB89"/>
  <w15:chartTrackingRefBased/>
  <w15:docId w15:val="{C58CD63D-D580-A941-8A51-C050854C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619"/>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6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2</cp:revision>
  <dcterms:created xsi:type="dcterms:W3CDTF">2019-07-25T13:43:00Z</dcterms:created>
  <dcterms:modified xsi:type="dcterms:W3CDTF">2020-01-03T15:49:00Z</dcterms:modified>
</cp:coreProperties>
</file>