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before="85"/>
        <w:jc w:val="left"/>
        <w:rPr>
          <w:rFonts w:ascii="Lucida Sans"/>
          <w:b/>
        </w:rPr>
      </w:pPr>
      <w:r>
        <w:rPr>
          <w:rFonts w:ascii="Lucida Sans"/>
          <w:b/>
          <w:color w:val="231F20"/>
        </w:rPr>
        <w:t>SAMPLE PARENT/GUARDIAN LETTER</w:t>
      </w:r>
    </w:p>
    <w:p>
      <w:pPr>
        <w:spacing w:before="62"/>
        <w:ind w:left="120" w:right="0" w:firstLine="0"/>
        <w:jc w:val="left"/>
        <w:rPr>
          <w:rFonts w:ascii="Lucida Sans Unicode"/>
          <w:sz w:val="18"/>
        </w:rPr>
      </w:pPr>
      <w:r>
        <w:rPr>
          <w:rFonts w:ascii="Lucida Sans Unicode"/>
          <w:color w:val="004B96"/>
          <w:sz w:val="18"/>
        </w:rPr>
        <w:t>SPANISH</w:t>
      </w:r>
    </w:p>
    <w:p>
      <w:pPr>
        <w:pStyle w:val="BodyText"/>
        <w:spacing w:before="14"/>
        <w:ind w:left="0"/>
        <w:rPr>
          <w:rFonts w:ascii="Lucida Sans Unicode"/>
          <w:sz w:val="31"/>
        </w:rPr>
      </w:pPr>
    </w:p>
    <w:p>
      <w:pPr>
        <w:pStyle w:val="Heading2"/>
        <w:spacing w:before="0"/>
      </w:pPr>
      <w:r>
        <w:rPr>
          <w:color w:val="231F20"/>
          <w:w w:val="105"/>
        </w:rPr>
        <w:t>Estimadas familias y tutores:</w:t>
      </w:r>
    </w:p>
    <w:p>
      <w:pPr>
        <w:spacing w:line="276" w:lineRule="auto" w:before="96"/>
        <w:ind w:left="120" w:right="116" w:firstLine="0"/>
        <w:jc w:val="both"/>
        <w:rPr>
          <w:sz w:val="20"/>
        </w:rPr>
      </w:pPr>
      <w:r>
        <w:rPr>
          <w:color w:val="231F20"/>
          <w:w w:val="105"/>
          <w:sz w:val="20"/>
        </w:rPr>
        <w:t>Muchos estudiantes y familias han experimentado (y continúan experimentando) diversos grados de estrés debido a muchas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razones,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como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cambios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escuela,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factores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estresantes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sociales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o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familiares,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presión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académica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o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trauma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15"/>
          <w:w w:val="105"/>
          <w:sz w:val="20"/>
        </w:rPr>
        <w:t> </w:t>
      </w:r>
      <w:r>
        <w:rPr>
          <w:color w:val="231F20"/>
          <w:w w:val="105"/>
          <w:sz w:val="20"/>
        </w:rPr>
        <w:t>pér- dida.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Con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eso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en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mente,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hoy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iniciamos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primera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tres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lecciones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centradas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en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resiliencia.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Estas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lecciones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se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extraen de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las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mejores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investigaciones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disponibles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sobre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resiliencia,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estrés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métodos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eficaces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para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afrontarlo.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resiliencia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es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la capacidad</w:t>
      </w:r>
      <w:r>
        <w:rPr>
          <w:color w:val="231F20"/>
          <w:spacing w:val="-6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afrontar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perseverar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a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través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dificultades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desafíos.</w:t>
      </w:r>
      <w:r>
        <w:rPr>
          <w:color w:val="231F20"/>
          <w:spacing w:val="37"/>
          <w:w w:val="105"/>
          <w:sz w:val="20"/>
        </w:rPr>
        <w:t> </w:t>
      </w:r>
      <w:r>
        <w:rPr>
          <w:color w:val="231F20"/>
          <w:w w:val="105"/>
          <w:sz w:val="20"/>
        </w:rPr>
        <w:t>El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objetivo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esta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serie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lecciones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es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ayudar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a los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estudiantes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a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reconocer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sus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fortalezas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existentes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apoyarlos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en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el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desarrollo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nuevas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habilidades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resiliencia.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spacing w:val="-3"/>
          <w:w w:val="105"/>
          <w:sz w:val="20"/>
        </w:rPr>
        <w:t>Para </w:t>
      </w:r>
      <w:r>
        <w:rPr>
          <w:color w:val="231F20"/>
          <w:w w:val="105"/>
          <w:sz w:val="20"/>
        </w:rPr>
        <w:t>obtener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más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información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sobre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ciencia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detrás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estas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lecciones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sobre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resiliencia,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a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continuación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se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incluyen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varias referencias de libros y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revistas.</w:t>
      </w:r>
    </w:p>
    <w:p>
      <w:pPr>
        <w:spacing w:line="276" w:lineRule="auto" w:before="54"/>
        <w:ind w:left="120" w:right="117" w:firstLine="0"/>
        <w:jc w:val="both"/>
        <w:rPr>
          <w:sz w:val="20"/>
        </w:rPr>
      </w:pPr>
      <w:r>
        <w:rPr>
          <w:color w:val="231F20"/>
          <w:sz w:val="20"/>
        </w:rPr>
        <w:t>Las tres lecciones se centrarán en cómo el estrés afecta el cuerpo, las acciones y la mente (BAM) y las habilidades que pueden desarrollar la resiliencia. Específicamente, los estudiantes practicarán un ejercicio de respiración relajante; identi- ficar acciones positivas y útiles a tomar en respuesta al estrés; y aprender estrategias para desafiar pensamientos inútiles. Discutiremos formas de manejar mejor nuestro estrés y, al mismo tiempo, desarrollar nuestra capacidad para recuperarnos de las dificultades.</w:t>
      </w:r>
    </w:p>
    <w:p>
      <w:pPr>
        <w:spacing w:line="276" w:lineRule="auto" w:before="56"/>
        <w:ind w:left="120" w:right="117" w:firstLine="0"/>
        <w:jc w:val="both"/>
        <w:rPr>
          <w:sz w:val="20"/>
        </w:rPr>
      </w:pPr>
      <w:r>
        <w:rPr>
          <w:color w:val="231F20"/>
          <w:sz w:val="20"/>
        </w:rPr>
        <w:t>La Asociación Estadounidense de Psicología ha desarrollado varias guías sobre resiliencia que pueden ser de interés para usted, su estudiante y su familia: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40" w:lineRule="auto" w:before="58" w:after="0"/>
        <w:ind w:left="480" w:right="0" w:hanging="240"/>
        <w:jc w:val="both"/>
        <w:rPr>
          <w:sz w:val="20"/>
        </w:rPr>
      </w:pPr>
      <w:r>
        <w:rPr>
          <w:color w:val="231F20"/>
          <w:spacing w:val="-3"/>
          <w:sz w:val="20"/>
        </w:rPr>
        <w:t>Para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adultos:</w:t>
      </w:r>
    </w:p>
    <w:p>
      <w:pPr>
        <w:spacing w:before="96"/>
        <w:ind w:left="660" w:right="0" w:firstLine="0"/>
        <w:jc w:val="both"/>
        <w:rPr>
          <w:sz w:val="20"/>
        </w:rPr>
      </w:pPr>
      <w:r>
        <w:rPr>
          <w:rFonts w:ascii="Adobe Devanagari" w:hAnsi="Adobe Devanagari"/>
          <w:color w:val="231F20"/>
          <w:sz w:val="20"/>
        </w:rPr>
        <w:t>» </w:t>
      </w:r>
      <w:r>
        <w:rPr>
          <w:color w:val="231F20"/>
          <w:sz w:val="20"/>
        </w:rPr>
        <w:t>Construyendo tu resiliencia (</w:t>
      </w:r>
      <w:hyperlink r:id="rId6">
        <w:r>
          <w:rPr>
            <w:color w:val="004B96"/>
            <w:sz w:val="20"/>
            <w:u w:val="single" w:color="004B96"/>
          </w:rPr>
          <w:t>apa.org/topics/resilience/building-your-resilience</w:t>
        </w:r>
      </w:hyperlink>
      <w:r>
        <w:rPr>
          <w:color w:val="231F20"/>
          <w:sz w:val="20"/>
        </w:rPr>
        <w:t>)</w:t>
      </w:r>
    </w:p>
    <w:p>
      <w:pPr>
        <w:spacing w:before="53"/>
        <w:ind w:left="660" w:right="0" w:firstLine="0"/>
        <w:jc w:val="both"/>
        <w:rPr>
          <w:sz w:val="20"/>
        </w:rPr>
      </w:pPr>
      <w:r>
        <w:rPr>
          <w:rFonts w:ascii="Adobe Devanagari" w:hAnsi="Adobe Devanagari"/>
          <w:color w:val="231F20"/>
          <w:w w:val="105"/>
          <w:sz w:val="20"/>
        </w:rPr>
        <w:t>» </w:t>
      </w:r>
      <w:r>
        <w:rPr>
          <w:color w:val="231F20"/>
          <w:w w:val="105"/>
          <w:sz w:val="20"/>
        </w:rPr>
        <w:t>Temas APA: Resiliencia (</w:t>
      </w:r>
      <w:hyperlink r:id="rId7">
        <w:r>
          <w:rPr>
            <w:color w:val="004B96"/>
            <w:w w:val="105"/>
            <w:sz w:val="20"/>
            <w:u w:val="single" w:color="004B96"/>
          </w:rPr>
          <w:t>apa.org/topics/resilience</w:t>
        </w:r>
      </w:hyperlink>
      <w:r>
        <w:rPr>
          <w:color w:val="231F20"/>
          <w:w w:val="105"/>
          <w:sz w:val="20"/>
        </w:rPr>
        <w:t>)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76" w:lineRule="auto" w:before="52" w:after="0"/>
        <w:ind w:left="480" w:right="3681" w:hanging="240"/>
        <w:jc w:val="both"/>
        <w:rPr>
          <w:sz w:val="20"/>
        </w:rPr>
      </w:pPr>
      <w:r>
        <w:rPr>
          <w:color w:val="231F20"/>
          <w:spacing w:val="-3"/>
          <w:w w:val="105"/>
          <w:sz w:val="20"/>
        </w:rPr>
        <w:t>Para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padres,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tutores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docentes: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Guía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resiliencia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para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padres</w:t>
      </w:r>
      <w:r>
        <w:rPr>
          <w:color w:val="231F20"/>
          <w:spacing w:val="-22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21"/>
          <w:w w:val="105"/>
          <w:sz w:val="20"/>
        </w:rPr>
        <w:t> </w:t>
      </w:r>
      <w:r>
        <w:rPr>
          <w:color w:val="231F20"/>
          <w:w w:val="105"/>
          <w:sz w:val="20"/>
        </w:rPr>
        <w:t>docentes (</w:t>
      </w:r>
      <w:hyperlink r:id="rId8">
        <w:r>
          <w:rPr>
            <w:color w:val="004B96"/>
            <w:w w:val="105"/>
            <w:sz w:val="20"/>
            <w:u w:val="single" w:color="004B96"/>
          </w:rPr>
          <w:t>apa.org/topics/resilience/guide-parents-teachers</w:t>
        </w:r>
      </w:hyperlink>
      <w:r>
        <w:rPr>
          <w:color w:val="231F20"/>
          <w:w w:val="105"/>
          <w:sz w:val="20"/>
        </w:rPr>
        <w:t>)</w:t>
      </w:r>
    </w:p>
    <w:p>
      <w:pPr>
        <w:spacing w:line="276" w:lineRule="auto" w:before="59"/>
        <w:ind w:left="120" w:right="116" w:firstLine="0"/>
        <w:jc w:val="both"/>
        <w:rPr>
          <w:sz w:val="20"/>
        </w:rPr>
      </w:pPr>
      <w:r>
        <w:rPr>
          <w:color w:val="231F20"/>
          <w:w w:val="105"/>
          <w:sz w:val="20"/>
        </w:rPr>
        <w:t>Usted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su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familia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también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pueden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aprender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a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mantener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calma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mediante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ejercicios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respiración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relajación</w:t>
      </w:r>
      <w:r>
        <w:rPr>
          <w:color w:val="231F20"/>
          <w:spacing w:val="-23"/>
          <w:w w:val="105"/>
          <w:sz w:val="20"/>
        </w:rPr>
        <w:t> </w:t>
      </w:r>
      <w:r>
        <w:rPr>
          <w:color w:val="231F20"/>
          <w:w w:val="105"/>
          <w:sz w:val="20"/>
        </w:rPr>
        <w:t>muscular. Hay</w:t>
      </w:r>
      <w:r>
        <w:rPr>
          <w:color w:val="231F20"/>
          <w:spacing w:val="-26"/>
          <w:w w:val="105"/>
          <w:sz w:val="20"/>
        </w:rPr>
        <w:t> </w:t>
      </w:r>
      <w:r>
        <w:rPr>
          <w:color w:val="231F20"/>
          <w:w w:val="105"/>
          <w:sz w:val="20"/>
        </w:rPr>
        <w:t>aplicaciones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gratuitas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que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promueven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el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manejo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del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estrés,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como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una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desarrollada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por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el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Centro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Nacional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25"/>
          <w:w w:val="105"/>
          <w:sz w:val="20"/>
        </w:rPr>
        <w:t> </w:t>
      </w:r>
      <w:r>
        <w:rPr>
          <w:color w:val="231F20"/>
          <w:spacing w:val="-3"/>
          <w:w w:val="105"/>
          <w:sz w:val="20"/>
        </w:rPr>
        <w:t>Telesalud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spacing w:val="-3"/>
          <w:w w:val="105"/>
          <w:sz w:val="20"/>
        </w:rPr>
        <w:t>Tecnología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llamada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Breathe2Relax.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Puede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encontrar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más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información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aquí:</w:t>
      </w:r>
      <w:r>
        <w:rPr>
          <w:color w:val="231F20"/>
          <w:spacing w:val="-17"/>
          <w:w w:val="105"/>
          <w:sz w:val="20"/>
        </w:rPr>
        <w:t> </w:t>
      </w:r>
      <w:hyperlink r:id="rId9">
        <w:r>
          <w:rPr>
            <w:color w:val="004B96"/>
            <w:w w:val="105"/>
            <w:sz w:val="20"/>
            <w:u w:val="single" w:color="004B96"/>
          </w:rPr>
          <w:t>Breathe2Relax</w:t>
        </w:r>
        <w:r>
          <w:rPr>
            <w:color w:val="004B96"/>
            <w:spacing w:val="-17"/>
            <w:w w:val="105"/>
            <w:sz w:val="20"/>
            <w:u w:val="single" w:color="004B96"/>
          </w:rPr>
          <w:t> </w:t>
        </w:r>
        <w:r>
          <w:rPr>
            <w:color w:val="004B96"/>
            <w:w w:val="105"/>
            <w:sz w:val="20"/>
            <w:u w:val="single" w:color="004B96"/>
          </w:rPr>
          <w:t>en</w:t>
        </w:r>
        <w:r>
          <w:rPr>
            <w:color w:val="004B96"/>
            <w:spacing w:val="-17"/>
            <w:w w:val="105"/>
            <w:sz w:val="20"/>
            <w:u w:val="single" w:color="004B96"/>
          </w:rPr>
          <w:t> </w:t>
        </w:r>
        <w:r>
          <w:rPr>
            <w:color w:val="004B96"/>
            <w:w w:val="105"/>
            <w:sz w:val="20"/>
            <w:u w:val="single" w:color="004B96"/>
          </w:rPr>
          <w:t>la</w:t>
        </w:r>
        <w:r>
          <w:rPr>
            <w:color w:val="004B96"/>
            <w:spacing w:val="-16"/>
            <w:w w:val="105"/>
            <w:sz w:val="20"/>
            <w:u w:val="single" w:color="004B96"/>
          </w:rPr>
          <w:t> </w:t>
        </w:r>
        <w:r>
          <w:rPr>
            <w:color w:val="004B96"/>
            <w:w w:val="105"/>
            <w:sz w:val="20"/>
            <w:u w:val="single" w:color="004B96"/>
          </w:rPr>
          <w:t>App</w:t>
        </w:r>
        <w:r>
          <w:rPr>
            <w:color w:val="004B96"/>
            <w:spacing w:val="-17"/>
            <w:w w:val="105"/>
            <w:sz w:val="20"/>
            <w:u w:val="single" w:color="004B96"/>
          </w:rPr>
          <w:t> </w:t>
        </w:r>
        <w:r>
          <w:rPr>
            <w:color w:val="004B96"/>
            <w:w w:val="105"/>
            <w:sz w:val="20"/>
            <w:u w:val="single" w:color="004B96"/>
          </w:rPr>
          <w:t>Store</w:t>
        </w:r>
      </w:hyperlink>
      <w:r>
        <w:rPr>
          <w:color w:val="231F20"/>
          <w:w w:val="105"/>
          <w:sz w:val="20"/>
        </w:rPr>
        <w:t>.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Los</w:t>
      </w:r>
      <w:r>
        <w:rPr>
          <w:color w:val="231F20"/>
          <w:spacing w:val="-17"/>
          <w:w w:val="105"/>
          <w:sz w:val="20"/>
        </w:rPr>
        <w:t> </w:t>
      </w:r>
      <w:r>
        <w:rPr>
          <w:color w:val="231F20"/>
          <w:w w:val="105"/>
          <w:sz w:val="20"/>
        </w:rPr>
        <w:t>recursos adicionales incluyen estos recursos </w:t>
      </w:r>
      <w:r>
        <w:rPr>
          <w:color w:val="231F20"/>
          <w:spacing w:val="-5"/>
          <w:w w:val="105"/>
          <w:sz w:val="20"/>
        </w:rPr>
        <w:t>APA </w:t>
      </w:r>
      <w:r>
        <w:rPr>
          <w:color w:val="231F20"/>
          <w:w w:val="105"/>
          <w:sz w:val="20"/>
        </w:rPr>
        <w:t>(</w:t>
      </w:r>
      <w:hyperlink r:id="rId10">
        <w:r>
          <w:rPr>
            <w:color w:val="004B96"/>
            <w:w w:val="105"/>
            <w:sz w:val="20"/>
            <w:u w:val="single" w:color="004B96"/>
          </w:rPr>
          <w:t>apa.org/topics/stress</w:t>
        </w:r>
      </w:hyperlink>
      <w:r>
        <w:rPr>
          <w:color w:val="231F20"/>
          <w:w w:val="105"/>
          <w:sz w:val="20"/>
        </w:rPr>
        <w:t>), así como los recursos proporcionados en las páginas siguientes para familias y</w:t>
      </w:r>
      <w:r>
        <w:rPr>
          <w:color w:val="231F20"/>
          <w:spacing w:val="-16"/>
          <w:w w:val="105"/>
          <w:sz w:val="20"/>
        </w:rPr>
        <w:t> </w:t>
      </w:r>
      <w:r>
        <w:rPr>
          <w:color w:val="231F20"/>
          <w:w w:val="105"/>
          <w:sz w:val="20"/>
        </w:rPr>
        <w:t>maestros.</w:t>
      </w:r>
    </w:p>
    <w:p>
      <w:pPr>
        <w:spacing w:line="276" w:lineRule="auto" w:before="56"/>
        <w:ind w:left="120" w:right="118" w:firstLine="0"/>
        <w:jc w:val="both"/>
        <w:rPr>
          <w:sz w:val="20"/>
        </w:rPr>
      </w:pPr>
      <w:r>
        <w:rPr>
          <w:color w:val="231F20"/>
          <w:sz w:val="20"/>
        </w:rPr>
        <w:t>Estas lecciones invitan a los estudiantes a reflexionar sobre cómo el estrés afecta su cuerpo, sus acciones y su mente, y luego a desarrollar un plan para afrontarlo. Si usted o su hijo se encuentran en una situación estresante, esperamos que los ejercicios que se enseñan en estas lecciones le resulten útiles. Otro recurso sería su consejero escolar.</w:t>
      </w:r>
    </w:p>
    <w:p>
      <w:pPr>
        <w:pStyle w:val="BodyText"/>
        <w:spacing w:before="7"/>
        <w:ind w:left="0"/>
        <w:rPr>
          <w:sz w:val="32"/>
        </w:rPr>
      </w:pPr>
    </w:p>
    <w:p>
      <w:pPr>
        <w:spacing w:before="0"/>
        <w:ind w:left="120" w:right="0" w:firstLine="0"/>
        <w:jc w:val="left"/>
        <w:rPr>
          <w:sz w:val="20"/>
        </w:rPr>
      </w:pPr>
      <w:r>
        <w:rPr>
          <w:color w:val="231F20"/>
          <w:sz w:val="20"/>
        </w:rPr>
        <w:t>Atentamente,</w:t>
      </w:r>
    </w:p>
    <w:p>
      <w:pPr>
        <w:spacing w:before="96"/>
        <w:ind w:left="120" w:right="0" w:firstLine="0"/>
        <w:jc w:val="left"/>
        <w:rPr>
          <w:sz w:val="20"/>
        </w:rPr>
      </w:pPr>
      <w:r>
        <w:rPr>
          <w:color w:val="231F20"/>
          <w:sz w:val="20"/>
        </w:rPr>
        <w:t>[añadir el nombre del profesor]</w:t>
      </w:r>
    </w:p>
    <w:p>
      <w:pPr>
        <w:spacing w:after="0"/>
        <w:jc w:val="left"/>
        <w:rPr>
          <w:sz w:val="20"/>
        </w:rPr>
        <w:sectPr>
          <w:footerReference w:type="default" r:id="rId5"/>
          <w:type w:val="continuous"/>
          <w:pgSz w:w="12240" w:h="15840"/>
          <w:pgMar w:footer="562" w:top="960" w:bottom="760" w:left="960" w:right="960"/>
          <w:pgNumType w:start="24"/>
        </w:sectPr>
      </w:pPr>
    </w:p>
    <w:p>
      <w:pPr>
        <w:spacing w:before="105"/>
        <w:ind w:left="120" w:right="0" w:firstLine="0"/>
        <w:jc w:val="left"/>
        <w:rPr>
          <w:rFonts w:ascii="Lucida Sans"/>
          <w:b/>
          <w:sz w:val="20"/>
        </w:rPr>
      </w:pPr>
      <w:r>
        <w:rPr>
          <w:rFonts w:ascii="Lucida Sans"/>
          <w:b/>
          <w:color w:val="231F20"/>
          <w:sz w:val="20"/>
        </w:rPr>
        <w:t>RECURSOS PARA MAESTROS Y FAMILIAS</w:t>
      </w:r>
    </w:p>
    <w:p>
      <w:pPr>
        <w:pStyle w:val="BodyText"/>
        <w:spacing w:line="230" w:lineRule="auto" w:before="184"/>
        <w:ind w:right="3313"/>
      </w:pPr>
      <w:hyperlink r:id="rId11">
        <w:r>
          <w:rPr>
            <w:color w:val="231F20"/>
            <w:w w:val="105"/>
          </w:rPr>
          <w:t>APA sitio web</w:t>
        </w:r>
      </w:hyperlink>
      <w:r>
        <w:rPr>
          <w:color w:val="231F20"/>
          <w:w w:val="105"/>
        </w:rPr>
        <w:t> </w:t>
      </w:r>
      <w:hyperlink r:id="rId11">
        <w:r>
          <w:rPr>
            <w:color w:val="004B96"/>
            <w:w w:val="105"/>
            <w:u w:val="single" w:color="004B96"/>
          </w:rPr>
          <w:t>apa.org</w:t>
        </w:r>
      </w:hyperlink>
    </w:p>
    <w:p>
      <w:pPr>
        <w:pStyle w:val="BodyText"/>
        <w:spacing w:before="9"/>
        <w:ind w:left="0"/>
      </w:pPr>
    </w:p>
    <w:p>
      <w:pPr>
        <w:spacing w:before="0"/>
        <w:ind w:left="120" w:right="0" w:firstLine="0"/>
        <w:jc w:val="left"/>
        <w:rPr>
          <w:rFonts w:ascii="Palatino Linotype"/>
          <w:sz w:val="21"/>
        </w:rPr>
      </w:pPr>
      <w:r>
        <w:rPr>
          <w:rFonts w:ascii="Georgia"/>
          <w:b/>
          <w:color w:val="231F20"/>
          <w:sz w:val="21"/>
        </w:rPr>
        <w:t>Resiliencia </w:t>
      </w:r>
      <w:r>
        <w:rPr>
          <w:rFonts w:ascii="Palatino Linotype"/>
          <w:color w:val="231F20"/>
          <w:sz w:val="21"/>
        </w:rPr>
        <w:t>(general)</w:t>
      </w:r>
    </w:p>
    <w:p>
      <w:pPr>
        <w:pStyle w:val="BodyText"/>
        <w:spacing w:line="204" w:lineRule="exact" w:before="155"/>
      </w:pPr>
      <w:hyperlink r:id="rId6">
        <w:r>
          <w:rPr>
            <w:color w:val="231F20"/>
            <w:w w:val="105"/>
          </w:rPr>
          <w:t>APA Construyendo su resiliencia</w:t>
        </w:r>
      </w:hyperlink>
    </w:p>
    <w:p>
      <w:pPr>
        <w:pStyle w:val="BodyText"/>
        <w:spacing w:line="204" w:lineRule="exact"/>
      </w:pPr>
      <w:hyperlink r:id="rId6">
        <w:r>
          <w:rPr>
            <w:color w:val="004B96"/>
            <w:w w:val="105"/>
            <w:u w:val="single" w:color="004B96"/>
          </w:rPr>
          <w:t>apa.org/topics/resilience/building-your-resilience</w:t>
        </w:r>
      </w:hyperlink>
    </w:p>
    <w:p>
      <w:pPr>
        <w:pStyle w:val="BodyText"/>
        <w:spacing w:line="230" w:lineRule="auto" w:before="119"/>
        <w:ind w:right="2526"/>
      </w:pPr>
      <w:hyperlink r:id="rId12">
        <w:r>
          <w:rPr>
            <w:color w:val="231F20"/>
          </w:rPr>
          <w:t>Resiliencia a través de la frontera</w:t>
        </w:r>
      </w:hyperlink>
      <w:r>
        <w:rPr>
          <w:color w:val="231F20"/>
        </w:rPr>
        <w:t> </w:t>
      </w:r>
      <w:hyperlink r:id="rId12">
        <w:r>
          <w:rPr>
            <w:color w:val="004B96"/>
            <w:u w:val="single" w:color="004B96"/>
          </w:rPr>
          <w:t>resilienceacrossborders.org</w:t>
        </w:r>
      </w:hyperlink>
    </w:p>
    <w:p>
      <w:pPr>
        <w:pStyle w:val="BodyText"/>
        <w:spacing w:line="230" w:lineRule="auto" w:before="122"/>
        <w:ind w:right="732"/>
      </w:pPr>
      <w:hyperlink r:id="rId13">
        <w:r>
          <w:rPr>
            <w:color w:val="231F20"/>
            <w:w w:val="105"/>
          </w:rPr>
          <w:t>Resiliencia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a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través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de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las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fronteras: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¿Qué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es</w:t>
        </w:r>
        <w:r>
          <w:rPr>
            <w:color w:val="231F20"/>
            <w:spacing w:val="-17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resiliencia?</w:t>
        </w:r>
      </w:hyperlink>
      <w:r>
        <w:rPr>
          <w:color w:val="231F20"/>
          <w:w w:val="105"/>
        </w:rPr>
        <w:t> </w:t>
      </w:r>
      <w:hyperlink r:id="rId13">
        <w:r>
          <w:rPr>
            <w:color w:val="004B96"/>
            <w:w w:val="105"/>
            <w:u w:val="single" w:color="004B96"/>
          </w:rPr>
          <w:t>youtube.com/watch?v=TZh2kow5wjk</w:t>
        </w:r>
      </w:hyperlink>
    </w:p>
    <w:p>
      <w:pPr>
        <w:pStyle w:val="BodyText"/>
        <w:spacing w:line="230" w:lineRule="auto" w:before="121"/>
        <w:ind w:right="32"/>
      </w:pPr>
      <w:hyperlink r:id="rId14">
        <w:r>
          <w:rPr>
            <w:color w:val="231F20"/>
            <w:w w:val="105"/>
          </w:rPr>
          <w:t>RESiliencia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de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spacing w:val="-3"/>
            <w:w w:val="105"/>
          </w:rPr>
          <w:t>APA: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animando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a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los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jóvenes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a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través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de</w:t>
        </w:r>
        <w:r>
          <w:rPr>
            <w:color w:val="231F20"/>
            <w:spacing w:val="-12"/>
            <w:w w:val="105"/>
          </w:rPr>
          <w:t> </w:t>
        </w:r>
        <w:r>
          <w:rPr>
            <w:color w:val="231F20"/>
            <w:w w:val="105"/>
          </w:rPr>
          <w:t>una</w:t>
        </w:r>
        <w:r>
          <w:rPr>
            <w:color w:val="231F20"/>
            <w:spacing w:val="-11"/>
            <w:w w:val="105"/>
          </w:rPr>
          <w:t> </w:t>
        </w:r>
        <w:r>
          <w:rPr>
            <w:color w:val="231F20"/>
            <w:w w:val="105"/>
          </w:rPr>
          <w:t>comu-</w:t>
        </w:r>
      </w:hyperlink>
      <w:r>
        <w:rPr>
          <w:color w:val="231F20"/>
          <w:w w:val="105"/>
        </w:rPr>
        <w:t> </w:t>
      </w:r>
      <w:hyperlink r:id="rId14">
        <w:r>
          <w:rPr>
            <w:color w:val="231F20"/>
            <w:w w:val="105"/>
          </w:rPr>
          <w:t>nicación saludable sobre la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raza</w:t>
        </w:r>
      </w:hyperlink>
    </w:p>
    <w:p>
      <w:pPr>
        <w:pStyle w:val="BodyText"/>
        <w:spacing w:line="203" w:lineRule="exact"/>
      </w:pPr>
      <w:hyperlink r:id="rId14">
        <w:r>
          <w:rPr>
            <w:color w:val="004B96"/>
            <w:w w:val="105"/>
            <w:u w:val="single" w:color="004B96"/>
          </w:rPr>
          <w:t>apa.org/res</w:t>
        </w:r>
      </w:hyperlink>
    </w:p>
    <w:p>
      <w:pPr>
        <w:pStyle w:val="BodyText"/>
        <w:spacing w:line="230" w:lineRule="auto" w:before="119"/>
      </w:pPr>
      <w:hyperlink r:id="rId15">
        <w:r>
          <w:rPr>
            <w:color w:val="231F20"/>
          </w:rPr>
          <w:t>Resiliencia para adolescentes: 10 consejos para desarrollar habili-</w:t>
        </w:r>
      </w:hyperlink>
      <w:r>
        <w:rPr>
          <w:color w:val="231F20"/>
        </w:rPr>
        <w:t> </w:t>
      </w:r>
      <w:hyperlink r:id="rId15">
        <w:r>
          <w:rPr>
            <w:color w:val="231F20"/>
          </w:rPr>
          <w:t>dades para recuperarse de tiempos difíciles</w:t>
        </w:r>
      </w:hyperlink>
    </w:p>
    <w:p>
      <w:pPr>
        <w:pStyle w:val="BodyText"/>
        <w:spacing w:line="203" w:lineRule="exact"/>
      </w:pPr>
      <w:hyperlink r:id="rId15">
        <w:r>
          <w:rPr>
            <w:color w:val="004B96"/>
            <w:w w:val="105"/>
            <w:u w:val="single" w:color="004B96"/>
          </w:rPr>
          <w:t>apa.org/topics/resilience/bounce-teens</w:t>
        </w:r>
      </w:hyperlink>
    </w:p>
    <w:p>
      <w:pPr>
        <w:pStyle w:val="BodyText"/>
        <w:spacing w:before="10"/>
        <w:ind w:left="0"/>
        <w:rPr>
          <w:sz w:val="19"/>
        </w:rPr>
      </w:pPr>
    </w:p>
    <w:p>
      <w:pPr>
        <w:pStyle w:val="Heading1"/>
      </w:pPr>
      <w:r>
        <w:rPr>
          <w:color w:val="231F20"/>
        </w:rPr>
        <w:t>Resiliencia para padres y / o maestros</w:t>
      </w:r>
    </w:p>
    <w:p>
      <w:pPr>
        <w:pStyle w:val="BodyText"/>
        <w:spacing w:line="230" w:lineRule="auto" w:before="178"/>
        <w:ind w:right="1349"/>
      </w:pPr>
      <w:hyperlink r:id="rId16">
        <w:r>
          <w:rPr>
            <w:color w:val="231F20"/>
            <w:w w:val="105"/>
          </w:rPr>
          <w:t>Guía de resiliencia </w:t>
        </w:r>
        <w:r>
          <w:rPr>
            <w:color w:val="231F20"/>
            <w:spacing w:val="-4"/>
            <w:w w:val="105"/>
          </w:rPr>
          <w:t>APA </w:t>
        </w:r>
        <w:r>
          <w:rPr>
            <w:color w:val="231F20"/>
            <w:w w:val="105"/>
          </w:rPr>
          <w:t>para padres y profesores</w:t>
        </w:r>
      </w:hyperlink>
      <w:r>
        <w:rPr>
          <w:color w:val="231F20"/>
          <w:w w:val="105"/>
        </w:rPr>
        <w:t> </w:t>
      </w:r>
      <w:hyperlink r:id="rId16">
        <w:r>
          <w:rPr>
            <w:color w:val="004B96"/>
            <w:w w:val="105"/>
            <w:u w:val="single" w:color="004B96"/>
          </w:rPr>
          <w:t>apa.org/topics/resilience-guide-parents</w:t>
        </w:r>
      </w:hyperlink>
    </w:p>
    <w:p>
      <w:pPr>
        <w:pStyle w:val="BodyText"/>
        <w:spacing w:line="230" w:lineRule="auto" w:before="122"/>
      </w:pPr>
      <w:hyperlink r:id="rId17">
        <w:r>
          <w:rPr>
            <w:color w:val="231F20"/>
          </w:rPr>
          <w:t>Enseñar resiliencia: programa de creación de resiliencia</w:t>
        </w:r>
      </w:hyperlink>
      <w:r>
        <w:rPr>
          <w:color w:val="231F20"/>
        </w:rPr>
        <w:t> </w:t>
      </w:r>
      <w:hyperlink r:id="rId17">
        <w:r>
          <w:rPr>
            <w:color w:val="004B96"/>
            <w:u w:val="single" w:color="004B96"/>
          </w:rPr>
          <w:t>teachresilience.org</w:t>
        </w:r>
      </w:hyperlink>
    </w:p>
    <w:p>
      <w:pPr>
        <w:pStyle w:val="BodyText"/>
        <w:spacing w:line="230" w:lineRule="auto" w:before="122"/>
        <w:ind w:right="1070"/>
      </w:pPr>
      <w:hyperlink r:id="rId18">
        <w:r>
          <w:rPr>
            <w:color w:val="231F20"/>
            <w:w w:val="105"/>
          </w:rPr>
          <w:t>Resiliencia</w:t>
        </w:r>
        <w:r>
          <w:rPr>
            <w:color w:val="231F20"/>
            <w:spacing w:val="-20"/>
            <w:w w:val="105"/>
          </w:rPr>
          <w:t> </w:t>
        </w:r>
        <w:r>
          <w:rPr>
            <w:color w:val="231F20"/>
            <w:spacing w:val="-3"/>
            <w:w w:val="105"/>
          </w:rPr>
          <w:t>APA:</w:t>
        </w:r>
        <w:r>
          <w:rPr>
            <w:color w:val="231F20"/>
            <w:spacing w:val="-19"/>
            <w:w w:val="105"/>
          </w:rPr>
          <w:t> </w:t>
        </w:r>
        <w:r>
          <w:rPr>
            <w:color w:val="231F20"/>
            <w:w w:val="105"/>
          </w:rPr>
          <w:t>herramienta</w:t>
        </w:r>
        <w:r>
          <w:rPr>
            <w:color w:val="231F20"/>
            <w:spacing w:val="-19"/>
            <w:w w:val="105"/>
          </w:rPr>
          <w:t> </w:t>
        </w:r>
        <w:r>
          <w:rPr>
            <w:color w:val="231F20"/>
            <w:w w:val="105"/>
          </w:rPr>
          <w:t>de</w:t>
        </w:r>
        <w:r>
          <w:rPr>
            <w:color w:val="231F20"/>
            <w:spacing w:val="-19"/>
            <w:w w:val="105"/>
          </w:rPr>
          <w:t> </w:t>
        </w:r>
        <w:r>
          <w:rPr>
            <w:color w:val="231F20"/>
            <w:w w:val="105"/>
          </w:rPr>
          <w:t>consejos</w:t>
        </w:r>
        <w:r>
          <w:rPr>
            <w:color w:val="231F20"/>
            <w:spacing w:val="-19"/>
            <w:w w:val="105"/>
          </w:rPr>
          <w:t> </w:t>
        </w:r>
        <w:r>
          <w:rPr>
            <w:color w:val="231F20"/>
            <w:w w:val="105"/>
          </w:rPr>
          <w:t>para</w:t>
        </w:r>
        <w:r>
          <w:rPr>
            <w:color w:val="231F20"/>
            <w:spacing w:val="-19"/>
            <w:w w:val="105"/>
          </w:rPr>
          <w:t> </w:t>
        </w:r>
        <w:r>
          <w:rPr>
            <w:color w:val="231F20"/>
            <w:w w:val="105"/>
          </w:rPr>
          <w:t>padres</w:t>
        </w:r>
      </w:hyperlink>
      <w:r>
        <w:rPr>
          <w:color w:val="231F20"/>
          <w:w w:val="105"/>
        </w:rPr>
        <w:t> </w:t>
      </w:r>
      <w:hyperlink r:id="rId18">
        <w:r>
          <w:rPr>
            <w:color w:val="004B96"/>
            <w:w w:val="105"/>
            <w:u w:val="single" w:color="004B96"/>
          </w:rPr>
          <w:t>apa.org/topics/parenting/tip-tool-brochure.pdf</w:t>
        </w:r>
      </w:hyperlink>
    </w:p>
    <w:p>
      <w:pPr>
        <w:pStyle w:val="BodyText"/>
        <w:spacing w:line="230" w:lineRule="auto" w:before="121"/>
        <w:ind w:right="636"/>
      </w:pPr>
      <w:hyperlink r:id="rId19">
        <w:r>
          <w:rPr>
            <w:color w:val="231F20"/>
            <w:spacing w:val="-4"/>
            <w:w w:val="105"/>
          </w:rPr>
          <w:t>APA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Practicando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Resiliencia: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Plan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de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Lección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para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Maestros</w:t>
        </w:r>
      </w:hyperlink>
      <w:r>
        <w:rPr>
          <w:color w:val="231F20"/>
          <w:w w:val="105"/>
        </w:rPr>
        <w:t> </w:t>
      </w:r>
      <w:hyperlink r:id="rId20">
        <w:r>
          <w:rPr>
            <w:color w:val="004B96"/>
            <w:w w:val="105"/>
            <w:u w:val="single" w:color="004B96"/>
          </w:rPr>
          <w:t>on.apa.org/3ihUOEt</w:t>
        </w:r>
      </w:hyperlink>
    </w:p>
    <w:p>
      <w:pPr>
        <w:pStyle w:val="BodyText"/>
        <w:spacing w:line="230" w:lineRule="auto" w:before="122"/>
        <w:ind w:right="2140"/>
      </w:pPr>
      <w:hyperlink r:id="rId21">
        <w:r>
          <w:rPr>
            <w:color w:val="231F20"/>
            <w:w w:val="105"/>
          </w:rPr>
          <w:t>Enseñar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los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niños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sobre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resiliencia</w:t>
        </w:r>
      </w:hyperlink>
      <w:r>
        <w:rPr>
          <w:color w:val="231F20"/>
          <w:w w:val="105"/>
        </w:rPr>
        <w:t> </w:t>
      </w:r>
      <w:hyperlink r:id="rId21">
        <w:r>
          <w:rPr>
            <w:color w:val="004B96"/>
            <w:w w:val="105"/>
            <w:u w:val="single" w:color="004B96"/>
          </w:rPr>
          <w:t>apa.org/monitor/oct03/teaching</w:t>
        </w:r>
      </w:hyperlink>
    </w:p>
    <w:p>
      <w:pPr>
        <w:pStyle w:val="BodyText"/>
        <w:ind w:left="0"/>
        <w:rPr>
          <w:sz w:val="20"/>
        </w:rPr>
      </w:pPr>
    </w:p>
    <w:p>
      <w:pPr>
        <w:pStyle w:val="Heading1"/>
        <w:ind w:right="66"/>
      </w:pPr>
      <w:r>
        <w:rPr>
          <w:color w:val="231F20"/>
          <w:w w:val="95"/>
        </w:rPr>
        <w:t>Resiliencia</w:t>
      </w:r>
      <w:r>
        <w:rPr>
          <w:color w:val="231F20"/>
          <w:spacing w:val="-39"/>
          <w:w w:val="95"/>
        </w:rPr>
        <w:t> </w:t>
      </w:r>
      <w:r>
        <w:rPr>
          <w:color w:val="231F20"/>
          <w:w w:val="95"/>
        </w:rPr>
        <w:t>durante</w:t>
      </w:r>
      <w:r>
        <w:rPr>
          <w:color w:val="231F20"/>
          <w:spacing w:val="-38"/>
          <w:w w:val="95"/>
        </w:rPr>
        <w:t> </w:t>
      </w:r>
      <w:r>
        <w:rPr>
          <w:color w:val="231F20"/>
          <w:w w:val="95"/>
        </w:rPr>
        <w:t>las</w:t>
      </w:r>
      <w:r>
        <w:rPr>
          <w:color w:val="231F20"/>
          <w:spacing w:val="-39"/>
          <w:w w:val="95"/>
        </w:rPr>
        <w:t> </w:t>
      </w:r>
      <w:r>
        <w:rPr>
          <w:color w:val="231F20"/>
          <w:w w:val="95"/>
        </w:rPr>
        <w:t>diftcultades</w:t>
      </w:r>
      <w:r>
        <w:rPr>
          <w:color w:val="231F20"/>
          <w:spacing w:val="-38"/>
          <w:w w:val="95"/>
        </w:rPr>
        <w:t> </w:t>
      </w:r>
      <w:r>
        <w:rPr>
          <w:color w:val="231F20"/>
          <w:spacing w:val="-3"/>
          <w:w w:val="95"/>
        </w:rPr>
        <w:t>económicas, </w:t>
      </w:r>
      <w:r>
        <w:rPr>
          <w:color w:val="231F20"/>
        </w:rPr>
        <w:t>el</w:t>
      </w:r>
      <w:r>
        <w:rPr>
          <w:color w:val="231F20"/>
          <w:spacing w:val="-20"/>
        </w:rPr>
        <w:t> </w:t>
      </w:r>
      <w:r>
        <w:rPr>
          <w:color w:val="231F20"/>
        </w:rPr>
        <w:t>terrorismo</w:t>
      </w:r>
      <w:r>
        <w:rPr>
          <w:color w:val="231F20"/>
          <w:spacing w:val="-20"/>
        </w:rPr>
        <w:t> </w:t>
      </w:r>
      <w:r>
        <w:rPr>
          <w:color w:val="231F20"/>
        </w:rPr>
        <w:t>y</w:t>
      </w:r>
      <w:r>
        <w:rPr>
          <w:color w:val="231F20"/>
          <w:spacing w:val="-19"/>
        </w:rPr>
        <w:t> </w:t>
      </w:r>
      <w:r>
        <w:rPr>
          <w:color w:val="231F20"/>
        </w:rPr>
        <w:t>la</w:t>
      </w:r>
      <w:r>
        <w:rPr>
          <w:color w:val="231F20"/>
          <w:spacing w:val="-20"/>
        </w:rPr>
        <w:t> </w:t>
      </w:r>
      <w:r>
        <w:rPr>
          <w:color w:val="231F20"/>
        </w:rPr>
        <w:t>guerra</w:t>
      </w:r>
    </w:p>
    <w:p>
      <w:pPr>
        <w:pStyle w:val="BodyText"/>
        <w:spacing w:line="230" w:lineRule="auto" w:before="180"/>
        <w:ind w:right="82"/>
      </w:pPr>
      <w:hyperlink r:id="rId22">
        <w:r>
          <w:rPr>
            <w:color w:val="231F20"/>
            <w:w w:val="105"/>
          </w:rPr>
          <w:t>Consejos</w:t>
        </w:r>
        <w:r>
          <w:rPr>
            <w:color w:val="231F20"/>
            <w:spacing w:val="-26"/>
            <w:w w:val="105"/>
          </w:rPr>
          <w:t> </w:t>
        </w:r>
        <w:r>
          <w:rPr>
            <w:color w:val="231F20"/>
            <w:spacing w:val="-3"/>
            <w:w w:val="105"/>
          </w:rPr>
          <w:t>para</w:t>
        </w:r>
        <w:r>
          <w:rPr>
            <w:color w:val="231F20"/>
            <w:spacing w:val="-25"/>
            <w:w w:val="105"/>
          </w:rPr>
          <w:t> </w:t>
        </w:r>
        <w:r>
          <w:rPr>
            <w:color w:val="231F20"/>
            <w:w w:val="105"/>
          </w:rPr>
          <w:t>fomentar</w:t>
        </w:r>
        <w:r>
          <w:rPr>
            <w:color w:val="231F20"/>
            <w:spacing w:val="-25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25"/>
            <w:w w:val="105"/>
          </w:rPr>
          <w:t> </w:t>
        </w:r>
        <w:r>
          <w:rPr>
            <w:color w:val="231F20"/>
            <w:spacing w:val="-3"/>
            <w:w w:val="105"/>
          </w:rPr>
          <w:t>resiliencia</w:t>
        </w:r>
        <w:r>
          <w:rPr>
            <w:color w:val="231F20"/>
            <w:spacing w:val="-25"/>
            <w:w w:val="105"/>
          </w:rPr>
          <w:t> </w:t>
        </w:r>
        <w:r>
          <w:rPr>
            <w:color w:val="231F20"/>
            <w:w w:val="105"/>
          </w:rPr>
          <w:t>en</w:t>
        </w:r>
        <w:r>
          <w:rPr>
            <w:color w:val="231F20"/>
            <w:spacing w:val="-25"/>
            <w:w w:val="105"/>
          </w:rPr>
          <w:t> </w:t>
        </w:r>
        <w:r>
          <w:rPr>
            <w:color w:val="231F20"/>
            <w:w w:val="105"/>
          </w:rPr>
          <w:t>tiempos</w:t>
        </w:r>
        <w:r>
          <w:rPr>
            <w:color w:val="231F20"/>
            <w:spacing w:val="-26"/>
            <w:w w:val="105"/>
          </w:rPr>
          <w:t> </w:t>
        </w:r>
        <w:r>
          <w:rPr>
            <w:color w:val="231F20"/>
            <w:spacing w:val="-3"/>
            <w:w w:val="105"/>
          </w:rPr>
          <w:t>económicos</w:t>
        </w:r>
        <w:r>
          <w:rPr>
            <w:color w:val="231F20"/>
            <w:spacing w:val="-25"/>
            <w:w w:val="105"/>
          </w:rPr>
          <w:t> </w:t>
        </w:r>
        <w:r>
          <w:rPr>
            <w:color w:val="231F20"/>
            <w:w w:val="105"/>
          </w:rPr>
          <w:t>difíciles</w:t>
        </w:r>
      </w:hyperlink>
      <w:r>
        <w:rPr>
          <w:color w:val="231F20"/>
          <w:w w:val="105"/>
        </w:rPr>
        <w:t> </w:t>
      </w:r>
      <w:hyperlink r:id="rId22">
        <w:r>
          <w:rPr>
            <w:color w:val="004B96"/>
            <w:spacing w:val="-1"/>
            <w:w w:val="105"/>
            <w:u w:val="single" w:color="004B96"/>
          </w:rPr>
          <w:t>apaservices.org/practice/update/2009/03-30/fostering-resilience</w:t>
        </w:r>
      </w:hyperlink>
    </w:p>
    <w:p>
      <w:pPr>
        <w:pStyle w:val="BodyText"/>
        <w:spacing w:line="230" w:lineRule="auto" w:before="121"/>
        <w:ind w:right="166"/>
      </w:pPr>
      <w:hyperlink r:id="rId23">
        <w:r>
          <w:rPr>
            <w:color w:val="231F20"/>
            <w:spacing w:val="-4"/>
            <w:w w:val="105"/>
          </w:rPr>
          <w:t>APA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fomenta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resiliencia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para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gestionar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exposición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indirecta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al</w:t>
        </w:r>
      </w:hyperlink>
      <w:r>
        <w:rPr>
          <w:color w:val="231F20"/>
          <w:w w:val="105"/>
        </w:rPr>
        <w:t> </w:t>
      </w:r>
      <w:hyperlink r:id="rId23">
        <w:r>
          <w:rPr>
            <w:color w:val="231F20"/>
            <w:w w:val="105"/>
          </w:rPr>
          <w:t>terrorismo</w:t>
        </w:r>
      </w:hyperlink>
    </w:p>
    <w:p>
      <w:pPr>
        <w:pStyle w:val="BodyText"/>
        <w:spacing w:line="203" w:lineRule="exact"/>
      </w:pPr>
      <w:hyperlink r:id="rId23">
        <w:r>
          <w:rPr>
            <w:color w:val="004B96"/>
            <w:w w:val="105"/>
            <w:u w:val="single" w:color="004B96"/>
          </w:rPr>
          <w:t>apa.org/topics/terrorism/exposure</w:t>
        </w:r>
      </w:hyperlink>
    </w:p>
    <w:p>
      <w:pPr>
        <w:pStyle w:val="BodyText"/>
        <w:spacing w:line="230" w:lineRule="auto" w:before="119"/>
      </w:pPr>
      <w:hyperlink r:id="rId24">
        <w:r>
          <w:rPr>
            <w:color w:val="231F20"/>
          </w:rPr>
          <w:t>Resiliencia de la APA en tiempos de guerra: consejos para padres y</w:t>
        </w:r>
      </w:hyperlink>
      <w:r>
        <w:rPr>
          <w:color w:val="231F20"/>
        </w:rPr>
        <w:t> </w:t>
      </w:r>
      <w:hyperlink r:id="rId24">
        <w:r>
          <w:rPr>
            <w:color w:val="231F20"/>
          </w:rPr>
          <w:t>maestros de adolescentes</w:t>
        </w:r>
      </w:hyperlink>
    </w:p>
    <w:p>
      <w:pPr>
        <w:pStyle w:val="BodyText"/>
        <w:spacing w:line="203" w:lineRule="exact"/>
      </w:pPr>
      <w:hyperlink r:id="rId24">
        <w:r>
          <w:rPr>
            <w:color w:val="004B96"/>
            <w:w w:val="105"/>
            <w:u w:val="single" w:color="004B96"/>
          </w:rPr>
          <w:t>apa.org/topics/resilience/teen-war</w:t>
        </w:r>
      </w:hyperlink>
    </w:p>
    <w:p>
      <w:pPr>
        <w:pStyle w:val="BodyText"/>
        <w:spacing w:before="10"/>
        <w:ind w:left="0"/>
        <w:rPr>
          <w:sz w:val="19"/>
        </w:rPr>
      </w:pPr>
    </w:p>
    <w:p>
      <w:pPr>
        <w:pStyle w:val="Heading1"/>
      </w:pPr>
      <w:r>
        <w:rPr>
          <w:color w:val="231F20"/>
        </w:rPr>
        <w:t>Estrés</w:t>
      </w:r>
    </w:p>
    <w:p>
      <w:pPr>
        <w:pStyle w:val="BodyText"/>
        <w:spacing w:line="230" w:lineRule="auto" w:before="179"/>
        <w:ind w:right="32"/>
      </w:pPr>
      <w:hyperlink r:id="rId25">
        <w:r>
          <w:rPr>
            <w:color w:val="231F20"/>
          </w:rPr>
          <w:t>APA Manejo del estrés: use estos 5 videos rápidos basados en cien-</w:t>
        </w:r>
      </w:hyperlink>
      <w:r>
        <w:rPr>
          <w:color w:val="231F20"/>
        </w:rPr>
        <w:t> </w:t>
      </w:r>
      <w:hyperlink r:id="rId25">
        <w:r>
          <w:rPr>
            <w:color w:val="231F20"/>
          </w:rPr>
          <w:t>cia para centrarse</w:t>
        </w:r>
      </w:hyperlink>
    </w:p>
    <w:p>
      <w:pPr>
        <w:pStyle w:val="BodyText"/>
        <w:spacing w:line="203" w:lineRule="exact"/>
      </w:pPr>
      <w:hyperlink r:id="rId25">
        <w:r>
          <w:rPr>
            <w:color w:val="004B96"/>
            <w:w w:val="105"/>
            <w:u w:val="single" w:color="004B96"/>
          </w:rPr>
          <w:t>apa.org/topics/stress/manage-stress-tools</w:t>
        </w:r>
      </w:hyperlink>
    </w:p>
    <w:p>
      <w:pPr>
        <w:pStyle w:val="BodyText"/>
        <w:spacing w:line="230" w:lineRule="auto" w:before="119"/>
        <w:ind w:right="104"/>
      </w:pPr>
      <w:hyperlink r:id="rId26">
        <w:r>
          <w:rPr>
            <w:color w:val="231F20"/>
          </w:rPr>
          <w:t>Los escritos de la APA sobre el trauma reducen el estrés y ayudan a</w:t>
        </w:r>
      </w:hyperlink>
      <w:r>
        <w:rPr>
          <w:color w:val="231F20"/>
        </w:rPr>
        <w:t> </w:t>
      </w:r>
      <w:hyperlink r:id="rId26">
        <w:r>
          <w:rPr>
            <w:color w:val="231F20"/>
          </w:rPr>
          <w:t>la inmunidad</w:t>
        </w:r>
      </w:hyperlink>
    </w:p>
    <w:p>
      <w:pPr>
        <w:pStyle w:val="BodyText"/>
        <w:spacing w:line="203" w:lineRule="exact"/>
      </w:pPr>
      <w:hyperlink r:id="rId26">
        <w:r>
          <w:rPr>
            <w:color w:val="004B96"/>
            <w:w w:val="105"/>
            <w:u w:val="single" w:color="004B96"/>
          </w:rPr>
          <w:t>apa.org/topics/trauma/writing-benefits</w:t>
        </w:r>
      </w:hyperlink>
    </w:p>
    <w:p>
      <w:pPr>
        <w:pStyle w:val="BodyText"/>
        <w:spacing w:line="230" w:lineRule="auto" w:before="119"/>
        <w:ind w:right="1499"/>
      </w:pPr>
      <w:hyperlink r:id="rId27">
        <w:r>
          <w:rPr>
            <w:color w:val="231F20"/>
            <w:w w:val="105"/>
          </w:rPr>
          <w:t>Estudiantes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de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la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spacing w:val="-4"/>
            <w:w w:val="105"/>
          </w:rPr>
          <w:t>APA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que</w:t>
        </w:r>
        <w:r>
          <w:rPr>
            <w:color w:val="231F20"/>
            <w:spacing w:val="-15"/>
            <w:w w:val="105"/>
          </w:rPr>
          <w:t> </w:t>
        </w:r>
        <w:r>
          <w:rPr>
            <w:color w:val="231F20"/>
            <w:w w:val="105"/>
          </w:rPr>
          <w:t>experimentan</w:t>
        </w:r>
        <w:r>
          <w:rPr>
            <w:color w:val="231F20"/>
            <w:spacing w:val="-16"/>
            <w:w w:val="105"/>
          </w:rPr>
          <w:t> </w:t>
        </w:r>
        <w:r>
          <w:rPr>
            <w:color w:val="231F20"/>
            <w:w w:val="105"/>
          </w:rPr>
          <w:t>estrés</w:t>
        </w:r>
      </w:hyperlink>
      <w:r>
        <w:rPr>
          <w:color w:val="231F20"/>
          <w:w w:val="105"/>
        </w:rPr>
        <w:t> </w:t>
      </w:r>
      <w:hyperlink r:id="rId27">
        <w:r>
          <w:rPr>
            <w:color w:val="004B96"/>
            <w:spacing w:val="-3"/>
            <w:w w:val="105"/>
            <w:u w:val="single" w:color="004B96"/>
          </w:rPr>
          <w:t>apa.org/ed/schools/primer/stress</w:t>
        </w:r>
      </w:hyperlink>
    </w:p>
    <w:p>
      <w:pPr>
        <w:pStyle w:val="BodyText"/>
        <w:spacing w:line="230" w:lineRule="auto" w:before="121"/>
        <w:ind w:right="228"/>
      </w:pPr>
      <w:hyperlink r:id="rId28">
        <w:r>
          <w:rPr>
            <w:color w:val="231F20"/>
          </w:rPr>
          <w:t>Menos estrés: una guía para adolescentes para una vida tranquila</w:t>
        </w:r>
      </w:hyperlink>
      <w:r>
        <w:rPr>
          <w:color w:val="231F20"/>
        </w:rPr>
        <w:t>   </w:t>
      </w:r>
      <w:hyperlink r:id="rId28">
        <w:r>
          <w:rPr>
            <w:color w:val="231F20"/>
          </w:rPr>
          <w:t>y</w:t>
        </w:r>
        <w:r>
          <w:rPr>
            <w:color w:val="231F20"/>
            <w:spacing w:val="3"/>
          </w:rPr>
          <w:t> </w:t>
        </w:r>
        <w:r>
          <w:rPr>
            <w:color w:val="231F20"/>
          </w:rPr>
          <w:t>relajada</w:t>
        </w:r>
      </w:hyperlink>
    </w:p>
    <w:p>
      <w:pPr>
        <w:pStyle w:val="BodyText"/>
        <w:spacing w:line="203" w:lineRule="exact"/>
      </w:pPr>
      <w:hyperlink r:id="rId28">
        <w:r>
          <w:rPr>
            <w:color w:val="004B96"/>
            <w:w w:val="105"/>
            <w:u w:val="single" w:color="004B96"/>
          </w:rPr>
          <w:t>apa.org/pubs/magination/stress-less</w:t>
        </w:r>
      </w:hyperlink>
    </w:p>
    <w:p>
      <w:pPr>
        <w:pStyle w:val="Heading1"/>
        <w:spacing w:before="115"/>
      </w:pPr>
      <w:r>
        <w:rPr>
          <w:b w:val="0"/>
        </w:rPr>
        <w:br w:type="column"/>
      </w:r>
      <w:r>
        <w:rPr>
          <w:color w:val="231F20"/>
        </w:rPr>
        <w:t>Consciencia</w:t>
      </w:r>
    </w:p>
    <w:p>
      <w:pPr>
        <w:pStyle w:val="BodyText"/>
        <w:spacing w:line="230" w:lineRule="auto" w:before="179"/>
        <w:ind w:right="1913"/>
      </w:pPr>
      <w:hyperlink r:id="rId29">
        <w:r>
          <w:rPr>
            <w:color w:val="231F20"/>
            <w:w w:val="105"/>
          </w:rPr>
          <w:t>Entrenador de atención plena (VA Mobile)</w:t>
        </w:r>
      </w:hyperlink>
      <w:r>
        <w:rPr>
          <w:color w:val="231F20"/>
          <w:w w:val="105"/>
        </w:rPr>
        <w:t> </w:t>
      </w:r>
      <w:hyperlink r:id="rId29">
        <w:r>
          <w:rPr>
            <w:color w:val="004B96"/>
            <w:w w:val="105"/>
            <w:u w:val="single" w:color="004B96"/>
          </w:rPr>
          <w:t>mobile.va.gov/app/mindfulness-coach</w:t>
        </w:r>
      </w:hyperlink>
    </w:p>
    <w:p>
      <w:pPr>
        <w:pStyle w:val="BodyText"/>
        <w:spacing w:line="204" w:lineRule="exact" w:before="115"/>
      </w:pPr>
      <w:hyperlink r:id="rId30">
        <w:r>
          <w:rPr>
            <w:color w:val="231F20"/>
          </w:rPr>
          <w:t>Atención plena en el aula</w:t>
        </w:r>
      </w:hyperlink>
    </w:p>
    <w:p>
      <w:pPr>
        <w:pStyle w:val="BodyText"/>
        <w:spacing w:line="204" w:lineRule="exact"/>
      </w:pPr>
      <w:hyperlink r:id="rId30">
        <w:r>
          <w:rPr>
            <w:color w:val="004B96"/>
            <w:w w:val="105"/>
            <w:u w:val="single" w:color="004B96"/>
          </w:rPr>
          <w:t>childmind.org/article/mindfulness-in-the-classroom</w:t>
        </w:r>
      </w:hyperlink>
    </w:p>
    <w:p>
      <w:pPr>
        <w:pStyle w:val="BodyText"/>
        <w:spacing w:line="230" w:lineRule="auto" w:before="119"/>
        <w:ind w:right="2681"/>
      </w:pPr>
      <w:r>
        <w:rPr>
          <w:color w:val="231F20"/>
          <w:w w:val="105"/>
        </w:rPr>
        <w:t>25 Lecciones </w:t>
      </w:r>
      <w:hyperlink r:id="rId31">
        <w:r>
          <w:rPr>
            <w:color w:val="231F20"/>
            <w:w w:val="105"/>
          </w:rPr>
          <w:t>de Atención Plena</w:t>
        </w:r>
      </w:hyperlink>
      <w:hyperlink r:id="rId31">
        <w:r>
          <w:rPr>
            <w:color w:val="004B96"/>
            <w:w w:val="105"/>
            <w:u w:val="single" w:color="004B96"/>
          </w:rPr>
          <w:t> apa.org/pubs/books/4441018</w:t>
        </w:r>
      </w:hyperlink>
    </w:p>
    <w:p>
      <w:pPr>
        <w:pStyle w:val="BodyText"/>
        <w:spacing w:line="230" w:lineRule="auto" w:before="121"/>
        <w:ind w:right="498"/>
      </w:pPr>
      <w:hyperlink r:id="rId32">
        <w:r>
          <w:rPr>
            <w:color w:val="231F20"/>
            <w:w w:val="105"/>
          </w:rPr>
          <w:t>Actividad </w:t>
        </w:r>
        <w:r>
          <w:rPr>
            <w:color w:val="231F20"/>
            <w:spacing w:val="-3"/>
            <w:w w:val="105"/>
          </w:rPr>
          <w:t>6.1: </w:t>
        </w:r>
        <w:r>
          <w:rPr>
            <w:color w:val="231F20"/>
            <w:w w:val="105"/>
          </w:rPr>
          <w:t>Caminar conscientemente (PDF)</w:t>
        </w:r>
      </w:hyperlink>
      <w:r>
        <w:rPr>
          <w:color w:val="231F20"/>
          <w:w w:val="105"/>
        </w:rPr>
        <w:t> </w:t>
      </w:r>
      <w:hyperlink r:id="rId32">
        <w:r>
          <w:rPr>
            <w:color w:val="004B96"/>
            <w:spacing w:val="-4"/>
            <w:w w:val="105"/>
            <w:u w:val="single" w:color="004B96"/>
          </w:rPr>
          <w:t>apa.org/ed/precollege/topss/lessons/activities/activity-mindful-</w:t>
        </w:r>
      </w:hyperlink>
      <w:r>
        <w:rPr>
          <w:color w:val="004B96"/>
          <w:spacing w:val="-4"/>
          <w:w w:val="105"/>
        </w:rPr>
        <w:t> </w:t>
      </w:r>
      <w:hyperlink r:id="rId32">
        <w:r>
          <w:rPr>
            <w:color w:val="004B96"/>
            <w:spacing w:val="-3"/>
            <w:w w:val="105"/>
            <w:u w:val="single" w:color="004B96"/>
          </w:rPr>
          <w:t>walking.pdf</w:t>
        </w:r>
      </w:hyperlink>
    </w:p>
    <w:p>
      <w:pPr>
        <w:pStyle w:val="BodyText"/>
        <w:spacing w:line="230" w:lineRule="auto" w:before="123"/>
        <w:ind w:right="1913"/>
      </w:pPr>
      <w:hyperlink r:id="rId33">
        <w:r>
          <w:rPr>
            <w:color w:val="231F20"/>
          </w:rPr>
          <w:t>Espacio de cabeza para educadores</w:t>
        </w:r>
      </w:hyperlink>
      <w:r>
        <w:rPr>
          <w:color w:val="231F20"/>
        </w:rPr>
        <w:t> </w:t>
      </w:r>
      <w:hyperlink r:id="rId33">
        <w:r>
          <w:rPr>
            <w:color w:val="004B96"/>
            <w:u w:val="single" w:color="004B96"/>
          </w:rPr>
          <w:t>headspace.com/educators</w:t>
        </w:r>
      </w:hyperlink>
    </w:p>
    <w:p>
      <w:pPr>
        <w:pStyle w:val="BodyText"/>
        <w:spacing w:line="230" w:lineRule="auto" w:before="121"/>
        <w:ind w:right="1376"/>
      </w:pPr>
      <w:hyperlink r:id="rId34">
        <w:r>
          <w:rPr>
            <w:color w:val="231F20"/>
            <w:w w:val="105"/>
          </w:rPr>
          <w:t>Calma para los maestros (gratis para las escuelas)</w:t>
        </w:r>
      </w:hyperlink>
      <w:r>
        <w:rPr>
          <w:color w:val="231F20"/>
          <w:w w:val="105"/>
        </w:rPr>
        <w:t> </w:t>
      </w:r>
      <w:hyperlink r:id="rId34">
        <w:r>
          <w:rPr>
            <w:color w:val="004B96"/>
            <w:w w:val="105"/>
            <w:u w:val="single" w:color="004B96"/>
          </w:rPr>
          <w:t>calm.com/schools</w:t>
        </w:r>
      </w:hyperlink>
    </w:p>
    <w:p>
      <w:pPr>
        <w:pStyle w:val="BodyText"/>
        <w:spacing w:line="230" w:lineRule="auto" w:before="122"/>
      </w:pPr>
      <w:hyperlink r:id="rId35">
        <w:r>
          <w:rPr>
            <w:color w:val="231F20"/>
          </w:rPr>
          <w:t>Aplicación Detente, Respira, Piensa Mindfulness</w:t>
        </w:r>
      </w:hyperlink>
      <w:r>
        <w:rPr>
          <w:color w:val="231F20"/>
        </w:rPr>
        <w:t> </w:t>
      </w:r>
      <w:hyperlink r:id="rId35">
        <w:r>
          <w:rPr>
            <w:color w:val="004B96"/>
            <w:u w:val="single" w:color="004B96"/>
          </w:rPr>
          <w:t>stopbreathethink.org.uk</w:t>
        </w:r>
      </w:hyperlink>
    </w:p>
    <w:p>
      <w:pPr>
        <w:pStyle w:val="BodyText"/>
        <w:spacing w:line="230" w:lineRule="auto" w:before="121"/>
        <w:ind w:right="1913"/>
      </w:pPr>
      <w:hyperlink r:id="rId36">
        <w:r>
          <w:rPr>
            <w:color w:val="231F20"/>
            <w:w w:val="105"/>
          </w:rPr>
          <w:t>Ejercicio Woop</w:t>
        </w:r>
      </w:hyperlink>
      <w:r>
        <w:rPr>
          <w:color w:val="231F20"/>
          <w:w w:val="105"/>
        </w:rPr>
        <w:t> </w:t>
      </w:r>
      <w:hyperlink r:id="rId36">
        <w:r>
          <w:rPr>
            <w:color w:val="004B96"/>
            <w:w w:val="105"/>
            <w:u w:val="single" w:color="004B96"/>
          </w:rPr>
          <w:t>youtube.com/watch?v=yBaVSJ6zq4c</w:t>
        </w:r>
      </w:hyperlink>
    </w:p>
    <w:p>
      <w:pPr>
        <w:pStyle w:val="BodyText"/>
        <w:spacing w:line="230" w:lineRule="auto" w:before="122"/>
      </w:pPr>
      <w:hyperlink r:id="rId37">
        <w:r>
          <w:rPr>
            <w:color w:val="231F20"/>
          </w:rPr>
          <w:t>Actividades de atención plena de la mente infantil para padres y</w:t>
        </w:r>
      </w:hyperlink>
      <w:r>
        <w:rPr>
          <w:color w:val="231F20"/>
        </w:rPr>
        <w:t> </w:t>
      </w:r>
      <w:hyperlink r:id="rId37">
        <w:r>
          <w:rPr>
            <w:color w:val="231F20"/>
          </w:rPr>
          <w:t>profesores</w:t>
        </w:r>
      </w:hyperlink>
    </w:p>
    <w:p>
      <w:pPr>
        <w:pStyle w:val="BodyText"/>
        <w:spacing w:line="203" w:lineRule="exact"/>
      </w:pPr>
      <w:hyperlink r:id="rId37">
        <w:r>
          <w:rPr>
            <w:color w:val="004B96"/>
            <w:w w:val="105"/>
            <w:u w:val="single" w:color="004B96"/>
          </w:rPr>
          <w:t>childmind.org/healthyminds</w:t>
        </w:r>
      </w:hyperlink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40" w:lineRule="auto" w:before="132" w:after="0"/>
        <w:ind w:left="480" w:right="0" w:hanging="240"/>
        <w:jc w:val="left"/>
        <w:rPr>
          <w:sz w:val="17"/>
        </w:rPr>
      </w:pPr>
      <w:hyperlink r:id="rId38">
        <w:r>
          <w:rPr>
            <w:color w:val="231F20"/>
            <w:sz w:val="17"/>
          </w:rPr>
          <w:t>Programa de secundaria para</w:t>
        </w:r>
        <w:r>
          <w:rPr>
            <w:color w:val="231F20"/>
            <w:spacing w:val="-2"/>
            <w:sz w:val="17"/>
          </w:rPr>
          <w:t> </w:t>
        </w:r>
        <w:r>
          <w:rPr>
            <w:color w:val="231F20"/>
            <w:sz w:val="17"/>
          </w:rPr>
          <w:t>maestros</w:t>
        </w:r>
      </w:hyperlink>
    </w:p>
    <w:p>
      <w:pPr>
        <w:pStyle w:val="BodyText"/>
        <w:spacing w:before="13"/>
        <w:ind w:left="480"/>
      </w:pPr>
      <w:hyperlink r:id="rId38">
        <w:r>
          <w:rPr>
            <w:color w:val="004B96"/>
            <w:w w:val="105"/>
            <w:u w:val="single" w:color="004B96"/>
          </w:rPr>
          <w:t>childmind.org/healthyminds/complete-series-teachers-middle</w:t>
        </w:r>
      </w:hyperlink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40" w:lineRule="auto" w:before="132" w:after="0"/>
        <w:ind w:left="480" w:right="0" w:hanging="240"/>
        <w:jc w:val="left"/>
        <w:rPr>
          <w:sz w:val="17"/>
        </w:rPr>
      </w:pPr>
      <w:hyperlink r:id="rId39">
        <w:r>
          <w:rPr>
            <w:color w:val="231F20"/>
            <w:sz w:val="17"/>
          </w:rPr>
          <w:t>Programa de secundaria para</w:t>
        </w:r>
        <w:r>
          <w:rPr>
            <w:color w:val="231F20"/>
            <w:spacing w:val="-2"/>
            <w:sz w:val="17"/>
          </w:rPr>
          <w:t> </w:t>
        </w:r>
        <w:r>
          <w:rPr>
            <w:color w:val="231F20"/>
            <w:sz w:val="17"/>
          </w:rPr>
          <w:t>maestros</w:t>
        </w:r>
      </w:hyperlink>
    </w:p>
    <w:p>
      <w:pPr>
        <w:pStyle w:val="BodyText"/>
        <w:spacing w:line="254" w:lineRule="auto" w:before="13"/>
        <w:ind w:left="480" w:right="676"/>
      </w:pPr>
      <w:hyperlink r:id="rId39">
        <w:r>
          <w:rPr>
            <w:color w:val="004B96"/>
            <w:u w:val="single" w:color="004B96"/>
          </w:rPr>
          <w:t>childmind.org/healthyminds/complete-series-teachers-</w:t>
        </w:r>
      </w:hyperlink>
      <w:r>
        <w:rPr>
          <w:color w:val="004B96"/>
        </w:rPr>
        <w:t> </w:t>
      </w:r>
      <w:hyperlink r:id="rId39">
        <w:r>
          <w:rPr>
            <w:color w:val="004B96"/>
            <w:w w:val="105"/>
            <w:u w:val="single" w:color="004B96"/>
          </w:rPr>
          <w:t>high-schoo</w:t>
        </w:r>
        <w:r>
          <w:rPr>
            <w:color w:val="004B96"/>
            <w:w w:val="105"/>
          </w:rPr>
          <w:t>l</w:t>
        </w:r>
      </w:hyperlink>
    </w:p>
    <w:p>
      <w:pPr>
        <w:pStyle w:val="BodyText"/>
        <w:spacing w:line="230" w:lineRule="auto" w:before="106"/>
        <w:ind w:right="568"/>
      </w:pPr>
      <w:hyperlink r:id="rId29">
        <w:r>
          <w:rPr>
            <w:color w:val="231F20"/>
            <w:w w:val="105"/>
          </w:rPr>
          <w:t>Aplicación Mindfulness Coach (Departamento de Asuntos de</w:t>
        </w:r>
      </w:hyperlink>
      <w:r>
        <w:rPr>
          <w:color w:val="231F20"/>
          <w:w w:val="105"/>
        </w:rPr>
        <w:t> </w:t>
      </w:r>
      <w:hyperlink r:id="rId29">
        <w:r>
          <w:rPr>
            <w:color w:val="231F20"/>
            <w:w w:val="105"/>
          </w:rPr>
          <w:t>Veteranos de EE. UU.)</w:t>
        </w:r>
      </w:hyperlink>
    </w:p>
    <w:p>
      <w:pPr>
        <w:pStyle w:val="BodyText"/>
        <w:spacing w:line="203" w:lineRule="exact"/>
      </w:pPr>
      <w:hyperlink r:id="rId29">
        <w:r>
          <w:rPr>
            <w:color w:val="004B96"/>
            <w:w w:val="105"/>
            <w:u w:val="single" w:color="004B96"/>
          </w:rPr>
          <w:t>mobile.va.gov/app/mindfulness-coach</w:t>
        </w:r>
      </w:hyperlink>
    </w:p>
    <w:p>
      <w:pPr>
        <w:pStyle w:val="BodyText"/>
        <w:spacing w:before="10"/>
        <w:ind w:left="0"/>
        <w:rPr>
          <w:sz w:val="19"/>
        </w:rPr>
      </w:pPr>
    </w:p>
    <w:p>
      <w:pPr>
        <w:pStyle w:val="Heading1"/>
      </w:pPr>
      <w:r>
        <w:rPr>
          <w:color w:val="231F20"/>
        </w:rPr>
        <w:t>Líneas directas de suicidio</w:t>
      </w:r>
    </w:p>
    <w:p>
      <w:pPr>
        <w:pStyle w:val="BodyText"/>
        <w:spacing w:line="369" w:lineRule="auto" w:before="172"/>
        <w:ind w:right="940"/>
      </w:pPr>
      <w:r>
        <w:rPr>
          <w:color w:val="231F20"/>
          <w:w w:val="105"/>
        </w:rPr>
        <w:t>Línea de ayuda nacional SAMHSA (inglés y español) 988 Línea de vida del proyecto Trevor 1-866-488-7386</w:t>
      </w:r>
    </w:p>
    <w:p>
      <w:pPr>
        <w:pStyle w:val="BodyText"/>
        <w:spacing w:line="230" w:lineRule="auto" w:before="8"/>
        <w:ind w:right="814"/>
      </w:pPr>
      <w:r>
        <w:rPr>
          <w:color w:val="231F20"/>
        </w:rPr>
        <w:t>Línea directa nacional para la prevención del suicidio (800) 272-8255</w:t>
      </w:r>
    </w:p>
    <w:p>
      <w:pPr>
        <w:pStyle w:val="BodyText"/>
        <w:spacing w:line="230" w:lineRule="auto" w:before="121"/>
        <w:ind w:right="498"/>
      </w:pPr>
      <w:r>
        <w:rPr>
          <w:color w:val="231F20"/>
        </w:rPr>
        <w:t>Línea de texto en caso de crisis: envíe un mensaje de texto con HOME al 741741</w:t>
      </w:r>
    </w:p>
    <w:p>
      <w:pPr>
        <w:pStyle w:val="BodyText"/>
        <w:ind w:left="0"/>
        <w:rPr>
          <w:sz w:val="20"/>
        </w:rPr>
      </w:pPr>
    </w:p>
    <w:p>
      <w:pPr>
        <w:pStyle w:val="Heading1"/>
      </w:pPr>
      <w:r>
        <w:rPr>
          <w:color w:val="231F20"/>
        </w:rPr>
        <w:t>Vínculos de video</w:t>
      </w:r>
    </w:p>
    <w:p>
      <w:pPr>
        <w:pStyle w:val="BodyText"/>
        <w:spacing w:line="230" w:lineRule="auto" w:before="179"/>
        <w:ind w:right="490"/>
      </w:pPr>
      <w:r>
        <w:rPr>
          <w:color w:val="231F20"/>
          <w:w w:val="105"/>
        </w:rPr>
        <w:t>Video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TedX: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Cómo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desarrollar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resiliencia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como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tu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superpoder (Denise Mai) </w:t>
      </w:r>
      <w:hyperlink r:id="rId40">
        <w:r>
          <w:rPr>
            <w:color w:val="004B96"/>
            <w:u w:val="single" w:color="004B96"/>
          </w:rPr>
          <w:t>ted.com/talks/denise_mai_how_to_build_resilience_as_your</w:t>
        </w:r>
      </w:hyperlink>
    </w:p>
    <w:p>
      <w:pPr>
        <w:pStyle w:val="BodyText"/>
        <w:spacing w:line="203" w:lineRule="exact"/>
      </w:pPr>
      <w:hyperlink r:id="rId40">
        <w:r>
          <w:rPr>
            <w:color w:val="004B96"/>
            <w:u w:val="single" w:color="004B96"/>
          </w:rPr>
          <w:t>_superpower</w:t>
        </w:r>
      </w:hyperlink>
    </w:p>
    <w:p>
      <w:pPr>
        <w:pStyle w:val="BodyText"/>
        <w:spacing w:line="230" w:lineRule="auto" w:before="119"/>
      </w:pPr>
      <w:r>
        <w:rPr>
          <w:color w:val="231F20"/>
          <w:spacing w:val="-4"/>
          <w:w w:val="105"/>
        </w:rPr>
        <w:t>Video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6"/>
          <w:w w:val="105"/>
        </w:rPr>
        <w:t>TedX: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3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secretos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resiliencia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las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personas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(Lucy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Hone) </w:t>
      </w:r>
      <w:hyperlink r:id="rId41">
        <w:r>
          <w:rPr>
            <w:color w:val="004B96"/>
            <w:w w:val="105"/>
            <w:u w:val="single" w:color="004B96"/>
          </w:rPr>
          <w:t>ted.com/talks/lucy_hone_3_secrets_of_resilient_people/</w:t>
        </w:r>
      </w:hyperlink>
      <w:r>
        <w:rPr>
          <w:color w:val="004B96"/>
          <w:w w:val="105"/>
        </w:rPr>
        <w:t> </w:t>
      </w:r>
      <w:hyperlink r:id="rId41">
        <w:r>
          <w:rPr>
            <w:color w:val="004B96"/>
            <w:w w:val="105"/>
            <w:u w:val="single" w:color="004B96"/>
          </w:rPr>
          <w:t>transcript?language=en</w:t>
        </w:r>
      </w:hyperlink>
    </w:p>
    <w:p>
      <w:pPr>
        <w:pStyle w:val="BodyText"/>
        <w:spacing w:line="230" w:lineRule="auto" w:before="122"/>
        <w:ind w:right="76"/>
      </w:pPr>
      <w:r>
        <w:rPr>
          <w:color w:val="231F20"/>
        </w:rPr>
        <w:t>Video de TedX: Resiliencia, el lado positivo de lo bajo (David Donaldson) </w:t>
      </w:r>
      <w:hyperlink r:id="rId42">
        <w:r>
          <w:rPr>
            <w:color w:val="004B96"/>
            <w:u w:val="single" w:color="004B96"/>
          </w:rPr>
          <w:t>ted.com/talks/david_donaldson_resilience_the_up_side_of_down</w:t>
        </w:r>
      </w:hyperlink>
    </w:p>
    <w:p>
      <w:pPr>
        <w:spacing w:after="0" w:line="230" w:lineRule="auto"/>
        <w:sectPr>
          <w:pgSz w:w="12240" w:h="15840"/>
          <w:pgMar w:header="0" w:footer="562" w:top="940" w:bottom="760" w:left="960" w:right="960"/>
          <w:cols w:num="2" w:equalWidth="0">
            <w:col w:w="4959" w:space="261"/>
            <w:col w:w="5100"/>
          </w:cols>
        </w:sectPr>
      </w:pPr>
    </w:p>
    <w:p>
      <w:pPr>
        <w:pStyle w:val="Heading2"/>
        <w:spacing w:before="85"/>
        <w:jc w:val="left"/>
        <w:rPr>
          <w:rFonts w:ascii="Lucida Sans"/>
          <w:b/>
        </w:rPr>
      </w:pPr>
      <w:r>
        <w:rPr>
          <w:rFonts w:ascii="Lucida Sans"/>
          <w:b/>
          <w:color w:val="231F20"/>
        </w:rPr>
        <w:t>REFERENCES</w:t>
      </w:r>
    </w:p>
    <w:p>
      <w:pPr>
        <w:spacing w:line="230" w:lineRule="auto" w:before="184"/>
        <w:ind w:left="120" w:right="589" w:firstLine="0"/>
        <w:jc w:val="left"/>
        <w:rPr>
          <w:sz w:val="17"/>
        </w:rPr>
      </w:pPr>
      <w:r>
        <w:rPr>
          <w:color w:val="231F20"/>
          <w:w w:val="105"/>
          <w:sz w:val="17"/>
        </w:rPr>
        <w:t>Alvord,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M.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K.,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Rich,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B.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A.,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&amp;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Berghorst,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L.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H.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(2016).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Resilience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interventions.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In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J.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C.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Norcross,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G.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R.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VandenBos,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3"/>
          <w:w w:val="105"/>
          <w:sz w:val="17"/>
        </w:rPr>
        <w:t>D.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K.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Freedheim,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&amp;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N.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w w:val="105"/>
          <w:sz w:val="17"/>
        </w:rPr>
        <w:t>Pole (Eds.), </w:t>
      </w:r>
      <w:r>
        <w:rPr>
          <w:rFonts w:ascii="Arial Narrow"/>
          <w:i/>
          <w:color w:val="231F20"/>
          <w:spacing w:val="-4"/>
          <w:w w:val="105"/>
          <w:sz w:val="17"/>
        </w:rPr>
        <w:t>APA </w:t>
      </w:r>
      <w:r>
        <w:rPr>
          <w:rFonts w:ascii="Arial Narrow"/>
          <w:i/>
          <w:color w:val="231F20"/>
          <w:w w:val="105"/>
          <w:sz w:val="17"/>
        </w:rPr>
        <w:t>handbook of clinical psychology: Psychopathology and health </w:t>
      </w:r>
      <w:r>
        <w:rPr>
          <w:color w:val="231F20"/>
          <w:spacing w:val="-3"/>
          <w:w w:val="105"/>
          <w:sz w:val="17"/>
        </w:rPr>
        <w:t>(Vol. </w:t>
      </w:r>
      <w:r>
        <w:rPr>
          <w:color w:val="231F20"/>
          <w:w w:val="105"/>
          <w:sz w:val="17"/>
        </w:rPr>
        <w:t>4, pp. 505-519). American Psychological Association. </w:t>
      </w:r>
      <w:hyperlink r:id="rId43">
        <w:r>
          <w:rPr>
            <w:color w:val="004B96"/>
            <w:spacing w:val="-3"/>
            <w:w w:val="105"/>
            <w:sz w:val="17"/>
            <w:u w:val="single" w:color="004B96"/>
          </w:rPr>
          <w:t>https://doi.org/10.1037/14862-023</w:t>
        </w:r>
      </w:hyperlink>
    </w:p>
    <w:p>
      <w:pPr>
        <w:pStyle w:val="BodyText"/>
        <w:spacing w:line="230" w:lineRule="auto" w:before="122"/>
        <w:ind w:right="578"/>
      </w:pPr>
      <w:r>
        <w:rPr>
          <w:color w:val="231F20"/>
          <w:w w:val="105"/>
        </w:rPr>
        <w:t>Dvorsky,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M.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R.,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Breaux,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R.,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Becker,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S.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7"/>
          <w:w w:val="105"/>
        </w:rPr>
        <w:t>P.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(2020).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Finding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ordinary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magic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extraordinary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times: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child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adolescent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resilience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during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the </w:t>
      </w:r>
      <w:r>
        <w:rPr>
          <w:color w:val="231F20"/>
          <w:spacing w:val="-3"/>
          <w:w w:val="105"/>
        </w:rPr>
        <w:t>COVID-19 </w:t>
      </w:r>
      <w:r>
        <w:rPr>
          <w:color w:val="231F20"/>
          <w:w w:val="105"/>
        </w:rPr>
        <w:t>pandemic. </w:t>
      </w:r>
      <w:r>
        <w:rPr>
          <w:rFonts w:ascii="Arial Narrow"/>
          <w:i/>
          <w:color w:val="231F20"/>
          <w:w w:val="105"/>
        </w:rPr>
        <w:t>European Child &amp; Adolescent Psychiatry</w:t>
      </w:r>
      <w:r>
        <w:rPr>
          <w:color w:val="231F20"/>
          <w:w w:val="105"/>
        </w:rPr>
        <w:t>.</w:t>
      </w:r>
      <w:r>
        <w:rPr>
          <w:color w:val="231F20"/>
          <w:spacing w:val="-11"/>
          <w:w w:val="105"/>
        </w:rPr>
        <w:t> </w:t>
      </w:r>
      <w:hyperlink r:id="rId44">
        <w:r>
          <w:rPr>
            <w:color w:val="004B96"/>
            <w:spacing w:val="-4"/>
            <w:w w:val="105"/>
            <w:u w:val="single" w:color="004B96"/>
          </w:rPr>
          <w:t>https://doi.org/10.1007/s00787-020-01583-8</w:t>
        </w:r>
      </w:hyperlink>
    </w:p>
    <w:p>
      <w:pPr>
        <w:pStyle w:val="BodyText"/>
        <w:spacing w:line="230" w:lineRule="auto" w:before="122"/>
      </w:pPr>
      <w:r>
        <w:rPr>
          <w:color w:val="231F20"/>
          <w:w w:val="105"/>
        </w:rPr>
        <w:t>Leys,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C.,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Arnal,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C.,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Wollast,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R.,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Rolin,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H.,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Kotsou,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I.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(2020).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Perspectives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on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resilience: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Personality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trait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skill?</w:t>
      </w:r>
      <w:r>
        <w:rPr>
          <w:color w:val="231F20"/>
          <w:spacing w:val="-10"/>
          <w:w w:val="105"/>
        </w:rPr>
        <w:t> </w:t>
      </w:r>
      <w:r>
        <w:rPr>
          <w:rFonts w:ascii="Arial Narrow"/>
          <w:i/>
          <w:color w:val="231F20"/>
          <w:w w:val="105"/>
        </w:rPr>
        <w:t>European</w:t>
      </w:r>
      <w:r>
        <w:rPr>
          <w:rFonts w:ascii="Arial Narrow"/>
          <w:i/>
          <w:color w:val="231F20"/>
          <w:spacing w:val="-11"/>
          <w:w w:val="105"/>
        </w:rPr>
        <w:t> </w:t>
      </w:r>
      <w:r>
        <w:rPr>
          <w:rFonts w:ascii="Arial Narrow"/>
          <w:i/>
          <w:color w:val="231F20"/>
          <w:w w:val="105"/>
        </w:rPr>
        <w:t>Journal</w:t>
      </w:r>
      <w:r>
        <w:rPr>
          <w:rFonts w:ascii="Arial Narrow"/>
          <w:i/>
          <w:color w:val="231F20"/>
          <w:spacing w:val="-12"/>
          <w:w w:val="105"/>
        </w:rPr>
        <w:t> </w:t>
      </w:r>
      <w:r>
        <w:rPr>
          <w:rFonts w:ascii="Arial Narrow"/>
          <w:i/>
          <w:color w:val="231F20"/>
          <w:w w:val="105"/>
        </w:rPr>
        <w:t>of</w:t>
      </w:r>
      <w:r>
        <w:rPr>
          <w:rFonts w:ascii="Arial Narrow"/>
          <w:i/>
          <w:color w:val="231F20"/>
          <w:spacing w:val="-12"/>
          <w:w w:val="105"/>
        </w:rPr>
        <w:t> </w:t>
      </w:r>
      <w:r>
        <w:rPr>
          <w:rFonts w:ascii="Arial Narrow"/>
          <w:i/>
          <w:color w:val="231F20"/>
          <w:spacing w:val="-3"/>
          <w:w w:val="105"/>
        </w:rPr>
        <w:t>Trauma</w:t>
      </w:r>
      <w:r>
        <w:rPr>
          <w:rFonts w:ascii="Arial Narrow"/>
          <w:i/>
          <w:color w:val="231F20"/>
          <w:spacing w:val="-12"/>
          <w:w w:val="105"/>
        </w:rPr>
        <w:t> </w:t>
      </w:r>
      <w:r>
        <w:rPr>
          <w:rFonts w:ascii="Arial Narrow"/>
          <w:i/>
          <w:color w:val="231F20"/>
          <w:w w:val="105"/>
        </w:rPr>
        <w:t>&amp; </w:t>
      </w:r>
      <w:r>
        <w:rPr>
          <w:rFonts w:ascii="Arial Narrow"/>
          <w:i/>
          <w:color w:val="231F20"/>
          <w:w w:val="105"/>
        </w:rPr>
        <w:t>Dissociation</w:t>
      </w:r>
      <w:r>
        <w:rPr>
          <w:color w:val="231F20"/>
          <w:w w:val="105"/>
        </w:rPr>
        <w:t>, </w:t>
      </w:r>
      <w:r>
        <w:rPr>
          <w:rFonts w:ascii="Arial Narrow"/>
          <w:i/>
          <w:color w:val="231F20"/>
          <w:w w:val="105"/>
        </w:rPr>
        <w:t>4</w:t>
      </w:r>
      <w:r>
        <w:rPr>
          <w:color w:val="231F20"/>
          <w:w w:val="105"/>
        </w:rPr>
        <w:t>(2).</w:t>
      </w:r>
      <w:r>
        <w:rPr>
          <w:color w:val="231F20"/>
          <w:spacing w:val="-6"/>
          <w:w w:val="105"/>
        </w:rPr>
        <w:t> </w:t>
      </w:r>
      <w:hyperlink r:id="rId45">
        <w:r>
          <w:rPr>
            <w:color w:val="004B96"/>
            <w:spacing w:val="-3"/>
            <w:w w:val="105"/>
            <w:u w:val="single" w:color="004B96"/>
          </w:rPr>
          <w:t>https://doi.org/10.1016/j.ejtd.2018.07.002</w:t>
        </w:r>
      </w:hyperlink>
    </w:p>
    <w:p>
      <w:pPr>
        <w:pStyle w:val="BodyText"/>
        <w:spacing w:line="230" w:lineRule="auto" w:before="121"/>
      </w:pPr>
      <w:r>
        <w:rPr>
          <w:color w:val="231F20"/>
          <w:w w:val="105"/>
        </w:rPr>
        <w:t>Gillham,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J.,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Abenavoli,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M.,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Brunwasser,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M.,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Linkins,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M.,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Reivich,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K.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J.,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Seligman,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M.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E.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7"/>
          <w:w w:val="105"/>
        </w:rPr>
        <w:t>P.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(2013).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Resilience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education.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I.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Boniwell,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S.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A. David, &amp; A.C. </w:t>
      </w:r>
      <w:r>
        <w:rPr>
          <w:color w:val="231F20"/>
          <w:spacing w:val="-3"/>
          <w:w w:val="105"/>
        </w:rPr>
        <w:t>Ayers </w:t>
      </w:r>
      <w:r>
        <w:rPr>
          <w:color w:val="231F20"/>
          <w:w w:val="105"/>
        </w:rPr>
        <w:t>(Eds.), </w:t>
      </w:r>
      <w:r>
        <w:rPr>
          <w:rFonts w:ascii="Arial Narrow"/>
          <w:i/>
          <w:color w:val="231F20"/>
          <w:w w:val="105"/>
        </w:rPr>
        <w:t>Oxford Handbook of Happiness</w:t>
      </w:r>
      <w:r>
        <w:rPr>
          <w:color w:val="231F20"/>
          <w:w w:val="105"/>
        </w:rPr>
        <w:t>.</w:t>
      </w:r>
      <w:r>
        <w:rPr>
          <w:color w:val="231F20"/>
          <w:spacing w:val="-19"/>
          <w:w w:val="105"/>
        </w:rPr>
        <w:t> </w:t>
      </w:r>
      <w:hyperlink r:id="rId46">
        <w:r>
          <w:rPr>
            <w:color w:val="004B96"/>
            <w:spacing w:val="-3"/>
            <w:w w:val="105"/>
            <w:u w:val="single" w:color="004B96"/>
          </w:rPr>
          <w:t>https://doi.org/10.1093/oxfordhb/9780199557257.013.0046</w:t>
        </w:r>
      </w:hyperlink>
    </w:p>
    <w:p>
      <w:pPr>
        <w:pStyle w:val="BodyText"/>
        <w:spacing w:line="230" w:lineRule="auto" w:before="122"/>
        <w:ind w:left="119"/>
      </w:pPr>
      <w:r>
        <w:rPr>
          <w:color w:val="231F20"/>
          <w:w w:val="105"/>
        </w:rPr>
        <w:t>Malhi,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G.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S.,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Das,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5"/>
          <w:w w:val="105"/>
        </w:rPr>
        <w:t>P.,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Bell,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E.,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Mattingly,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G.,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Mannie,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Z.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(2019).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Modelling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resilience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adolescence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adversity: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novel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framework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inform research and practice. </w:t>
      </w:r>
      <w:r>
        <w:rPr>
          <w:rFonts w:ascii="Arial Narrow"/>
          <w:i/>
          <w:color w:val="231F20"/>
          <w:w w:val="105"/>
        </w:rPr>
        <w:t>Translational Psychiatry</w:t>
      </w:r>
      <w:r>
        <w:rPr>
          <w:color w:val="231F20"/>
          <w:w w:val="105"/>
        </w:rPr>
        <w:t>, </w:t>
      </w:r>
      <w:r>
        <w:rPr>
          <w:rFonts w:ascii="Arial Narrow"/>
          <w:i/>
          <w:color w:val="231F20"/>
          <w:w w:val="105"/>
        </w:rPr>
        <w:t>9</w:t>
      </w:r>
      <w:r>
        <w:rPr>
          <w:color w:val="231F20"/>
          <w:w w:val="105"/>
        </w:rPr>
        <w:t>, 316.</w:t>
      </w:r>
      <w:r>
        <w:rPr>
          <w:color w:val="231F20"/>
          <w:spacing w:val="-27"/>
          <w:w w:val="105"/>
        </w:rPr>
        <w:t> </w:t>
      </w:r>
      <w:hyperlink r:id="rId47">
        <w:r>
          <w:rPr>
            <w:color w:val="004B96"/>
            <w:spacing w:val="-3"/>
            <w:w w:val="105"/>
            <w:u w:val="single" w:color="004B96"/>
          </w:rPr>
          <w:t>https://doi.org/10.1038/s41398-019-0651-y</w:t>
        </w:r>
      </w:hyperlink>
    </w:p>
    <w:p>
      <w:pPr>
        <w:spacing w:before="115"/>
        <w:ind w:left="119" w:right="0" w:firstLine="0"/>
        <w:jc w:val="left"/>
        <w:rPr>
          <w:sz w:val="17"/>
        </w:rPr>
      </w:pPr>
      <w:r>
        <w:rPr>
          <w:color w:val="231F20"/>
          <w:w w:val="105"/>
          <w:sz w:val="17"/>
        </w:rPr>
        <w:t>Masten, A. S. (2014). </w:t>
      </w:r>
      <w:r>
        <w:rPr>
          <w:rFonts w:ascii="Arial Narrow"/>
          <w:i/>
          <w:color w:val="231F20"/>
          <w:w w:val="105"/>
          <w:sz w:val="17"/>
        </w:rPr>
        <w:t>Ordinary magic: Resilience in development</w:t>
      </w:r>
      <w:r>
        <w:rPr>
          <w:color w:val="231F20"/>
          <w:w w:val="105"/>
          <w:sz w:val="17"/>
        </w:rPr>
        <w:t>. Guilford Press.</w:t>
      </w:r>
    </w:p>
    <w:p>
      <w:pPr>
        <w:pStyle w:val="BodyText"/>
        <w:spacing w:line="230" w:lineRule="auto" w:before="119"/>
        <w:ind w:right="151"/>
      </w:pPr>
      <w:r>
        <w:rPr>
          <w:color w:val="231F20"/>
          <w:w w:val="105"/>
        </w:rPr>
        <w:t>Perciavalle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8"/>
          <w:w w:val="105"/>
        </w:rPr>
        <w:t>V,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Blandini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M,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Fecarotta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7"/>
          <w:w w:val="105"/>
        </w:rPr>
        <w:t>P,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Buscemi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Di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Corrado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3"/>
          <w:w w:val="105"/>
        </w:rPr>
        <w:t>D,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Bertolo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Fichera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7"/>
          <w:w w:val="105"/>
        </w:rPr>
        <w:t>F,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Coco,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M.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(2017,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March)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role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deep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breathing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on stress. </w:t>
      </w:r>
      <w:r>
        <w:rPr>
          <w:rFonts w:ascii="Arial Narrow"/>
          <w:i/>
          <w:color w:val="231F20"/>
          <w:w w:val="105"/>
        </w:rPr>
        <w:t>Neurological Science. 38</w:t>
      </w:r>
      <w:r>
        <w:rPr>
          <w:color w:val="231F20"/>
          <w:w w:val="105"/>
        </w:rPr>
        <w:t>(3), 451-458.</w:t>
      </w:r>
      <w:r>
        <w:rPr>
          <w:color w:val="231F20"/>
          <w:spacing w:val="-16"/>
          <w:w w:val="105"/>
        </w:rPr>
        <w:t> </w:t>
      </w:r>
      <w:hyperlink r:id="rId48">
        <w:r>
          <w:rPr>
            <w:color w:val="004B96"/>
            <w:spacing w:val="-4"/>
            <w:w w:val="105"/>
            <w:u w:val="single" w:color="004B96"/>
          </w:rPr>
          <w:t>https://doi.org/10.1007/s10072-016-2790-8</w:t>
        </w:r>
      </w:hyperlink>
    </w:p>
    <w:p>
      <w:pPr>
        <w:pStyle w:val="BodyText"/>
        <w:spacing w:line="230" w:lineRule="auto" w:before="121"/>
        <w:ind w:left="119" w:right="1314"/>
      </w:pPr>
      <w:r>
        <w:rPr>
          <w:color w:val="231F20"/>
          <w:spacing w:val="-3"/>
        </w:rPr>
        <w:t>Pitzer, </w:t>
      </w:r>
      <w:r>
        <w:rPr>
          <w:color w:val="231F20"/>
        </w:rPr>
        <w:t>J., &amp; Skinner, E. (2017). Predictors of changes in students’ motivational resilience over the school year: The roles of   teacher support, self-appraisals, and emotional reactivity. </w:t>
      </w:r>
      <w:r>
        <w:rPr>
          <w:rFonts w:ascii="Arial Narrow" w:hAnsi="Arial Narrow"/>
          <w:i/>
          <w:color w:val="231F20"/>
        </w:rPr>
        <w:t>International Journal of Behavioral Development</w:t>
      </w:r>
      <w:r>
        <w:rPr>
          <w:color w:val="231F20"/>
        </w:rPr>
        <w:t>, </w:t>
      </w:r>
      <w:r>
        <w:rPr>
          <w:rFonts w:ascii="Arial Narrow" w:hAnsi="Arial Narrow"/>
          <w:i/>
          <w:color w:val="231F20"/>
        </w:rPr>
        <w:t>41</w:t>
      </w:r>
      <w:r>
        <w:rPr>
          <w:color w:val="231F20"/>
        </w:rPr>
        <w:t>(1), 15-29. </w:t>
      </w:r>
      <w:hyperlink r:id="rId49">
        <w:r>
          <w:rPr>
            <w:color w:val="004B96"/>
            <w:spacing w:val="-5"/>
            <w:u w:val="single" w:color="004B96"/>
          </w:rPr>
          <w:t>https://doi</w:t>
        </w:r>
        <w:r>
          <w:rPr>
            <w:color w:val="004B96"/>
            <w:spacing w:val="-5"/>
          </w:rPr>
          <w:t>.</w:t>
        </w:r>
      </w:hyperlink>
      <w:r>
        <w:rPr>
          <w:color w:val="004B96"/>
          <w:spacing w:val="-5"/>
        </w:rPr>
        <w:t> </w:t>
      </w:r>
      <w:hyperlink r:id="rId49">
        <w:r>
          <w:rPr>
            <w:color w:val="004B96"/>
            <w:u w:val="single" w:color="004B96"/>
          </w:rPr>
          <w:t>org/10.1177/0165025416642051</w:t>
        </w:r>
      </w:hyperlink>
    </w:p>
    <w:p>
      <w:pPr>
        <w:pStyle w:val="BodyText"/>
        <w:spacing w:line="230" w:lineRule="auto" w:before="123"/>
        <w:ind w:left="119" w:right="589"/>
      </w:pPr>
      <w:r>
        <w:rPr>
          <w:color w:val="231F20"/>
          <w:spacing w:val="-3"/>
          <w:w w:val="105"/>
        </w:rPr>
        <w:t>Ungar,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M.,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Theron,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L.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(2020).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Resilience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mental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health: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how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multisystemic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processes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contribute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positive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outcomes.</w:t>
      </w:r>
      <w:r>
        <w:rPr>
          <w:color w:val="231F20"/>
          <w:spacing w:val="-17"/>
          <w:w w:val="105"/>
        </w:rPr>
        <w:t> </w:t>
      </w:r>
      <w:r>
        <w:rPr>
          <w:rFonts w:ascii="Arial Narrow"/>
          <w:i/>
          <w:color w:val="231F20"/>
          <w:w w:val="105"/>
        </w:rPr>
        <w:t>The</w:t>
      </w:r>
      <w:r>
        <w:rPr>
          <w:rFonts w:ascii="Arial Narrow"/>
          <w:i/>
          <w:color w:val="231F20"/>
          <w:spacing w:val="-18"/>
          <w:w w:val="105"/>
        </w:rPr>
        <w:t> </w:t>
      </w:r>
      <w:r>
        <w:rPr>
          <w:rFonts w:ascii="Arial Narrow"/>
          <w:i/>
          <w:color w:val="231F20"/>
          <w:w w:val="105"/>
        </w:rPr>
        <w:t>Lancet </w:t>
      </w:r>
      <w:r>
        <w:rPr>
          <w:rFonts w:ascii="Arial Narrow"/>
          <w:i/>
          <w:color w:val="231F20"/>
          <w:w w:val="105"/>
        </w:rPr>
        <w:t>Psychiatry, 7</w:t>
      </w:r>
      <w:r>
        <w:rPr>
          <w:color w:val="231F20"/>
          <w:w w:val="105"/>
        </w:rPr>
        <w:t>, 441-48.</w:t>
      </w:r>
      <w:r>
        <w:rPr>
          <w:color w:val="231F20"/>
          <w:spacing w:val="-12"/>
          <w:w w:val="105"/>
        </w:rPr>
        <w:t> </w:t>
      </w:r>
      <w:hyperlink r:id="rId50">
        <w:r>
          <w:rPr>
            <w:color w:val="004B96"/>
            <w:w w:val="105"/>
            <w:u w:val="single" w:color="004B96"/>
          </w:rPr>
          <w:t>https://doi.org/10.1016/S2215-0366(19)30434-1</w:t>
        </w:r>
      </w:hyperlink>
    </w:p>
    <w:p>
      <w:pPr>
        <w:pStyle w:val="BodyText"/>
        <w:ind w:left="0"/>
        <w:rPr>
          <w:sz w:val="22"/>
        </w:rPr>
      </w:pPr>
    </w:p>
    <w:p>
      <w:pPr>
        <w:pStyle w:val="BodyText"/>
        <w:spacing w:line="230" w:lineRule="auto" w:before="173"/>
        <w:ind w:left="119" w:right="151"/>
      </w:pPr>
      <w:r>
        <w:rPr>
          <w:color w:val="231F20"/>
          <w:w w:val="105"/>
        </w:rPr>
        <w:t>Note: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Pitzer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Skinner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(2017),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Malhi,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Das,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Bell,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Mattingly,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&amp;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Mannie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(2019)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are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available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open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access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publications.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Gillham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al.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(2013) is available through</w:t>
      </w:r>
      <w:r>
        <w:rPr>
          <w:color w:val="231F20"/>
          <w:spacing w:val="-9"/>
          <w:w w:val="105"/>
        </w:rPr>
        <w:t> </w:t>
      </w:r>
      <w:hyperlink r:id="rId51">
        <w:r>
          <w:rPr>
            <w:color w:val="004B96"/>
            <w:spacing w:val="-3"/>
            <w:w w:val="105"/>
            <w:u w:val="single" w:color="004B96"/>
          </w:rPr>
          <w:t>https://works.swarthmore.edu/fac-psychology/537/</w:t>
        </w:r>
      </w:hyperlink>
      <w:r>
        <w:rPr>
          <w:color w:val="231F20"/>
          <w:spacing w:val="-3"/>
          <w:w w:val="105"/>
        </w:rPr>
        <w:t>.</w:t>
      </w:r>
    </w:p>
    <w:sectPr>
      <w:pgSz w:w="12240" w:h="15840"/>
      <w:pgMar w:header="0" w:footer="562" w:top="960" w:bottom="76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 Unicode">
    <w:altName w:val="Lucida Sans Unicode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Adobe Devanagari">
    <w:altName w:val="Adobe Devanagari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  <w:font w:name="Arial Narrow">
    <w:altName w:val="Arial Narrow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pt;margin-top:752.902527pt;width:163.85pt;height:10.45pt;mso-position-horizontal-relative:page;mso-position-vertical-relative:page;z-index:-251895808" type="#_x0000_t202" filled="false" stroked="false">
          <v:textbox inset="0,0,0,0">
            <w:txbxContent>
              <w:p>
                <w:pPr>
                  <w:spacing w:line="199" w:lineRule="exact" w:before="9"/>
                  <w:ind w:left="20" w:right="0" w:firstLine="0"/>
                  <w:jc w:val="left"/>
                  <w:rPr>
                    <w:sz w:val="13"/>
                  </w:rPr>
                </w:pPr>
                <w:r>
                  <w:rPr>
                    <w:rFonts w:ascii="Lucida Sans Unicode" w:hAnsi="Lucida Sans Unicode"/>
                    <w:color w:val="414042"/>
                    <w:sz w:val="13"/>
                  </w:rPr>
                  <w:t>© AMERICAN PSYCHOLOGICAL ASSOCIATION </w:t>
                </w:r>
                <w:r>
                  <w:rPr>
                    <w:color w:val="414042"/>
                    <w:sz w:val="13"/>
                  </w:rPr>
                  <w:t>2024</w:t>
                </w:r>
              </w:p>
            </w:txbxContent>
          </v:textbox>
          <w10:wrap type="none"/>
        </v:shape>
      </w:pict>
    </w:r>
    <w:r>
      <w:rPr/>
      <w:pict>
        <v:shape style="position:absolute;margin-left:547.413513pt;margin-top:752.902527pt;width:13.85pt;height:10.45pt;mso-position-horizontal-relative:page;mso-position-vertical-relative:page;z-index:-251894784" type="#_x0000_t202" filled="false" stroked="false">
          <v:textbox inset="0,0,0,0">
            <w:txbxContent>
              <w:p>
                <w:pPr>
                  <w:spacing w:line="199" w:lineRule="exact" w:before="9"/>
                  <w:ind w:left="60" w:right="0" w:firstLine="0"/>
                  <w:jc w:val="left"/>
                  <w:rPr>
                    <w:rFonts w:ascii="Lucida Sans Unicode"/>
                    <w:sz w:val="13"/>
                  </w:rPr>
                </w:pPr>
                <w:r>
                  <w:rPr/>
                  <w:fldChar w:fldCharType="begin"/>
                </w:r>
                <w:r>
                  <w:rPr>
                    <w:rFonts w:ascii="Lucida Sans Unicode"/>
                    <w:color w:val="414042"/>
                    <w:sz w:val="1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80" w:hanging="240"/>
      </w:pPr>
      <w:rPr>
        <w:rFonts w:hint="default" w:ascii="Calibri" w:hAnsi="Calibri" w:eastAsia="Calibri" w:cs="Calibri"/>
        <w:color w:val="231F20"/>
        <w:w w:val="83"/>
        <w:sz w:val="17"/>
        <w:szCs w:val="17"/>
        <w:lang w:val="es-ES" w:eastAsia="es-ES" w:bidi="es-ES"/>
      </w:rPr>
    </w:lvl>
    <w:lvl w:ilvl="1">
      <w:start w:val="0"/>
      <w:numFmt w:val="bullet"/>
      <w:lvlText w:val="•"/>
      <w:lvlJc w:val="left"/>
      <w:pPr>
        <w:ind w:left="942" w:hanging="24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404" w:hanging="24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1866" w:hanging="24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2328" w:hanging="24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790" w:hanging="24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3252" w:hanging="24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714" w:hanging="24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4176" w:hanging="240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80" w:hanging="240"/>
      </w:pPr>
      <w:rPr>
        <w:rFonts w:hint="default" w:ascii="Calibri" w:hAnsi="Calibri" w:eastAsia="Calibri" w:cs="Calibri"/>
        <w:color w:val="231F20"/>
        <w:w w:val="83"/>
        <w:sz w:val="20"/>
        <w:szCs w:val="2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464" w:hanging="24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448" w:hanging="24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432" w:hanging="24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416" w:hanging="24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00" w:hanging="24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384" w:hanging="24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368" w:hanging="24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8352" w:hanging="240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>
      <w:ind w:left="120"/>
    </w:pPr>
    <w:rPr>
      <w:rFonts w:ascii="Calibri" w:hAnsi="Calibri" w:eastAsia="Calibri" w:cs="Calibri"/>
      <w:sz w:val="17"/>
      <w:szCs w:val="17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Georgia" w:hAnsi="Georgia" w:eastAsia="Georgia" w:cs="Georgia"/>
      <w:b/>
      <w:bCs/>
      <w:sz w:val="21"/>
      <w:szCs w:val="21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96"/>
      <w:ind w:left="120"/>
      <w:jc w:val="both"/>
      <w:outlineLvl w:val="2"/>
    </w:pPr>
    <w:rPr>
      <w:rFonts w:ascii="Calibri" w:hAnsi="Calibri" w:eastAsia="Calibri" w:cs="Calibri"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spacing w:before="132"/>
      <w:ind w:left="480" w:hanging="240"/>
    </w:pPr>
    <w:rPr>
      <w:rFonts w:ascii="Calibri" w:hAnsi="Calibri" w:eastAsia="Calibri" w:cs="Calibri"/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apa.org/topics/resilience/building-your-resilience" TargetMode="External"/><Relationship Id="rId7" Type="http://schemas.openxmlformats.org/officeDocument/2006/relationships/hyperlink" Target="https://www.apa.org/topics/resilience" TargetMode="External"/><Relationship Id="rId8" Type="http://schemas.openxmlformats.org/officeDocument/2006/relationships/hyperlink" Target="https://www.apa.org/topics/resilience/guide-parents-teachers" TargetMode="External"/><Relationship Id="rId9" Type="http://schemas.openxmlformats.org/officeDocument/2006/relationships/hyperlink" Target="https://apps.apple.com/us/app/breathe2relax/id425720246" TargetMode="External"/><Relationship Id="rId10" Type="http://schemas.openxmlformats.org/officeDocument/2006/relationships/hyperlink" Target="https://www.apa.org/topics/stress" TargetMode="External"/><Relationship Id="rId11" Type="http://schemas.openxmlformats.org/officeDocument/2006/relationships/hyperlink" Target="http://www.apa.org/" TargetMode="External"/><Relationship Id="rId12" Type="http://schemas.openxmlformats.org/officeDocument/2006/relationships/hyperlink" Target="https://resilienceacrossborders.org/" TargetMode="External"/><Relationship Id="rId13" Type="http://schemas.openxmlformats.org/officeDocument/2006/relationships/hyperlink" Target="https://www.youtube.com/watch?v=TZh2kow5wjk" TargetMode="External"/><Relationship Id="rId14" Type="http://schemas.openxmlformats.org/officeDocument/2006/relationships/hyperlink" Target="https://www.apa.org/res" TargetMode="External"/><Relationship Id="rId15" Type="http://schemas.openxmlformats.org/officeDocument/2006/relationships/hyperlink" Target="https://www.apa.org/topics/resilience/bounce-teens" TargetMode="External"/><Relationship Id="rId16" Type="http://schemas.openxmlformats.org/officeDocument/2006/relationships/hyperlink" Target="https://www.apa.org/topics/resilience-guide-parents" TargetMode="External"/><Relationship Id="rId17" Type="http://schemas.openxmlformats.org/officeDocument/2006/relationships/hyperlink" Target="https://www.teachresilience.org/" TargetMode="External"/><Relationship Id="rId18" Type="http://schemas.openxmlformats.org/officeDocument/2006/relationships/hyperlink" Target="https://www.apa.org/topics/parenting/tip-tool-brochure.pdf" TargetMode="External"/><Relationship Id="rId19" Type="http://schemas.openxmlformats.org/officeDocument/2006/relationships/hyperlink" Target="https://www.apa.org/ed/precollege/topss/teaching-resources/practicing-resilience-lesson" TargetMode="External"/><Relationship Id="rId20" Type="http://schemas.openxmlformats.org/officeDocument/2006/relationships/hyperlink" Target="http://on.apa.org/3ihUOEt" TargetMode="External"/><Relationship Id="rId21" Type="http://schemas.openxmlformats.org/officeDocument/2006/relationships/hyperlink" Target="https://www.apa.org/monitor/oct03/teaching" TargetMode="External"/><Relationship Id="rId22" Type="http://schemas.openxmlformats.org/officeDocument/2006/relationships/hyperlink" Target="https://www.apaservices.org/practice/update/2009/03-30/fostering-resilience" TargetMode="External"/><Relationship Id="rId23" Type="http://schemas.openxmlformats.org/officeDocument/2006/relationships/hyperlink" Target="https://www.apa.org/topics/terrorism/exposure" TargetMode="External"/><Relationship Id="rId24" Type="http://schemas.openxmlformats.org/officeDocument/2006/relationships/hyperlink" Target="https://www.apa.org/topics/resilience/teen-war" TargetMode="External"/><Relationship Id="rId25" Type="http://schemas.openxmlformats.org/officeDocument/2006/relationships/hyperlink" Target="https://www.apa.org/topics/stress/manage-stress-tools" TargetMode="External"/><Relationship Id="rId26" Type="http://schemas.openxmlformats.org/officeDocument/2006/relationships/hyperlink" Target="https://www.apa.org/topics/trauma/writing-benefits" TargetMode="External"/><Relationship Id="rId27" Type="http://schemas.openxmlformats.org/officeDocument/2006/relationships/hyperlink" Target="https://www.apa.org/ed/schools/primer/stress" TargetMode="External"/><Relationship Id="rId28" Type="http://schemas.openxmlformats.org/officeDocument/2006/relationships/hyperlink" Target="https://www.apa.org/pubs/magination/stress-less" TargetMode="External"/><Relationship Id="rId29" Type="http://schemas.openxmlformats.org/officeDocument/2006/relationships/hyperlink" Target="https://mobile.va.gov/app/mindfulness-coach" TargetMode="External"/><Relationship Id="rId30" Type="http://schemas.openxmlformats.org/officeDocument/2006/relationships/hyperlink" Target="https://childmind.org/article/mindfulness-in-the-classroom/" TargetMode="External"/><Relationship Id="rId31" Type="http://schemas.openxmlformats.org/officeDocument/2006/relationships/hyperlink" Target="https://www.apa.org/pubs/books/4441018" TargetMode="External"/><Relationship Id="rId32" Type="http://schemas.openxmlformats.org/officeDocument/2006/relationships/hyperlink" Target="https://www.apa.org/ed/precollege/topss/lessons/activities/activity-mindful-walking.pdf" TargetMode="External"/><Relationship Id="rId33" Type="http://schemas.openxmlformats.org/officeDocument/2006/relationships/hyperlink" Target="https://www.headspace.com/educators" TargetMode="External"/><Relationship Id="rId34" Type="http://schemas.openxmlformats.org/officeDocument/2006/relationships/hyperlink" Target="https://www.calm.com/schools" TargetMode="External"/><Relationship Id="rId35" Type="http://schemas.openxmlformats.org/officeDocument/2006/relationships/hyperlink" Target="https://www.stopbreathethink.org.uk/" TargetMode="External"/><Relationship Id="rId36" Type="http://schemas.openxmlformats.org/officeDocument/2006/relationships/hyperlink" Target="https://www.youtube.com/watch?v=yBaVSJ6zq4c" TargetMode="External"/><Relationship Id="rId37" Type="http://schemas.openxmlformats.org/officeDocument/2006/relationships/hyperlink" Target="https://childmind.org/healthyminds/" TargetMode="External"/><Relationship Id="rId38" Type="http://schemas.openxmlformats.org/officeDocument/2006/relationships/hyperlink" Target="https://childmind.org/healthyminds/complete-series-teachers-middle/" TargetMode="External"/><Relationship Id="rId39" Type="http://schemas.openxmlformats.org/officeDocument/2006/relationships/hyperlink" Target="https://childmind.org/healthyminds/complete-series-teachers-high-school/" TargetMode="External"/><Relationship Id="rId40" Type="http://schemas.openxmlformats.org/officeDocument/2006/relationships/hyperlink" Target="https://www.ted.com/talks/denise_mai_how_to_build_resilience_as_your_superpower" TargetMode="External"/><Relationship Id="rId41" Type="http://schemas.openxmlformats.org/officeDocument/2006/relationships/hyperlink" Target="https://www.ted.com/talks/lucy_hone_3_secrets_of_resilient_people/transcript?language=en" TargetMode="External"/><Relationship Id="rId42" Type="http://schemas.openxmlformats.org/officeDocument/2006/relationships/hyperlink" Target="https://www.ted.com/talks/david_donaldson_resilience_the_up_side_of_down" TargetMode="External"/><Relationship Id="rId43" Type="http://schemas.openxmlformats.org/officeDocument/2006/relationships/hyperlink" Target="https://doi.org/10.1037/14862-023" TargetMode="External"/><Relationship Id="rId44" Type="http://schemas.openxmlformats.org/officeDocument/2006/relationships/hyperlink" Target="https://doi.org/10.1007/s00787-020-01583-8" TargetMode="External"/><Relationship Id="rId45" Type="http://schemas.openxmlformats.org/officeDocument/2006/relationships/hyperlink" Target="https://doi.org/10.1016/j.ejtd.2018.07.002" TargetMode="External"/><Relationship Id="rId46" Type="http://schemas.openxmlformats.org/officeDocument/2006/relationships/hyperlink" Target="https://doi.org/10.1093/oxfordhb/9780199557257.013.0046" TargetMode="External"/><Relationship Id="rId47" Type="http://schemas.openxmlformats.org/officeDocument/2006/relationships/hyperlink" Target="https://doi.org/10.1038/s41398-019-0651-y" TargetMode="External"/><Relationship Id="rId48" Type="http://schemas.openxmlformats.org/officeDocument/2006/relationships/hyperlink" Target="https://doi.org/10.1007/s10072-016-2790-8" TargetMode="External"/><Relationship Id="rId49" Type="http://schemas.openxmlformats.org/officeDocument/2006/relationships/hyperlink" Target="https://doi.org/10.1177/0165025416642051" TargetMode="External"/><Relationship Id="rId50" Type="http://schemas.openxmlformats.org/officeDocument/2006/relationships/hyperlink" Target="https://doi.org/10.1016/S2215-0366(19)30434-1" TargetMode="External"/><Relationship Id="rId51" Type="http://schemas.openxmlformats.org/officeDocument/2006/relationships/hyperlink" Target="https://works.swarthmore.edu/fac-psychology/537/" TargetMode="External"/><Relationship Id="rId5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Psychological Association</dc:creator>
  <dc:title>BAM! Student/Teacher Resilience Lessons: Grades 4-8</dc:title>
  <dcterms:created xsi:type="dcterms:W3CDTF">2024-10-21T18:10:18Z</dcterms:created>
  <dcterms:modified xsi:type="dcterms:W3CDTF">2024-10-21T18:10:18Z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2024-10-21T00:00:00Z</vt:filetime>
  </property>
</Properties>
</file>